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A" w:rsidRPr="00D04354" w:rsidRDefault="008C26A1" w:rsidP="00D04354">
      <w:pPr>
        <w:spacing w:line="360" w:lineRule="auto"/>
        <w:jc w:val="both"/>
        <w:rPr>
          <w:sz w:val="20"/>
          <w:szCs w:val="22"/>
        </w:rPr>
      </w:pPr>
      <w:r w:rsidRPr="00D04354">
        <w:rPr>
          <w:b/>
          <w:sz w:val="20"/>
          <w:szCs w:val="22"/>
        </w:rPr>
        <w:t>Supplementary</w:t>
      </w:r>
      <w:r w:rsidR="0065753B">
        <w:rPr>
          <w:b/>
          <w:sz w:val="20"/>
          <w:szCs w:val="22"/>
        </w:rPr>
        <w:t xml:space="preserve"> </w:t>
      </w:r>
      <w:r w:rsidRPr="00D04354">
        <w:rPr>
          <w:b/>
          <w:sz w:val="20"/>
          <w:szCs w:val="22"/>
        </w:rPr>
        <w:t>TEXT</w:t>
      </w:r>
      <w:r w:rsidR="0065753B">
        <w:rPr>
          <w:b/>
          <w:sz w:val="20"/>
          <w:szCs w:val="22"/>
        </w:rPr>
        <w:t xml:space="preserve"> </w:t>
      </w:r>
      <w:r w:rsidRPr="00D04354">
        <w:rPr>
          <w:b/>
          <w:sz w:val="20"/>
          <w:szCs w:val="22"/>
        </w:rPr>
        <w:t>T1:</w:t>
      </w:r>
      <w:r w:rsidR="0065753B">
        <w:rPr>
          <w:b/>
          <w:sz w:val="20"/>
          <w:szCs w:val="22"/>
        </w:rPr>
        <w:t xml:space="preserve"> </w:t>
      </w:r>
      <w:r w:rsidR="00496C8A" w:rsidRPr="00D04354">
        <w:rPr>
          <w:sz w:val="20"/>
          <w:szCs w:val="22"/>
        </w:rPr>
        <w:t>Databases</w:t>
      </w:r>
      <w:r w:rsidR="0065753B">
        <w:rPr>
          <w:sz w:val="20"/>
          <w:szCs w:val="22"/>
        </w:rPr>
        <w:t xml:space="preserve"> </w:t>
      </w:r>
      <w:r w:rsidR="00496C8A" w:rsidRPr="00D04354">
        <w:rPr>
          <w:sz w:val="20"/>
          <w:szCs w:val="22"/>
        </w:rPr>
        <w:t>used</w:t>
      </w:r>
      <w:r w:rsidR="0065753B">
        <w:rPr>
          <w:sz w:val="20"/>
          <w:szCs w:val="22"/>
        </w:rPr>
        <w:t xml:space="preserve"> </w:t>
      </w:r>
      <w:r w:rsidR="00496C8A" w:rsidRPr="00D04354">
        <w:rPr>
          <w:sz w:val="20"/>
          <w:szCs w:val="22"/>
        </w:rPr>
        <w:t>in</w:t>
      </w:r>
      <w:r w:rsidR="0065753B">
        <w:rPr>
          <w:sz w:val="20"/>
          <w:szCs w:val="22"/>
        </w:rPr>
        <w:t xml:space="preserve"> </w:t>
      </w:r>
      <w:r w:rsidR="00496C8A" w:rsidRPr="00D04354">
        <w:rPr>
          <w:sz w:val="20"/>
          <w:szCs w:val="22"/>
        </w:rPr>
        <w:t>the</w:t>
      </w:r>
      <w:r w:rsidR="0065753B">
        <w:rPr>
          <w:sz w:val="20"/>
          <w:szCs w:val="22"/>
        </w:rPr>
        <w:t xml:space="preserve"> </w:t>
      </w:r>
      <w:r w:rsidR="00496C8A" w:rsidRPr="00D04354">
        <w:rPr>
          <w:sz w:val="20"/>
          <w:szCs w:val="22"/>
        </w:rPr>
        <w:t>study</w:t>
      </w:r>
      <w:r w:rsidR="00D04354">
        <w:rPr>
          <w:sz w:val="20"/>
          <w:szCs w:val="22"/>
        </w:rPr>
        <w:t>.</w:t>
      </w:r>
    </w:p>
    <w:p w:rsidR="00496C8A" w:rsidRDefault="00496C8A" w:rsidP="00496C8A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4261"/>
        <w:gridCol w:w="4981"/>
      </w:tblGrid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Category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Major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source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/reference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HTT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interacting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proteins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http://www.ncbi.nlm.nih.gov/pubmed/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(high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throughput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data,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reviews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others)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identified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to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modulate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pathogenesis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models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HD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http://www.ncbi.nlm.nih.gov/pubmed/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(high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throughput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data)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HTT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co-expressed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genes</w:t>
            </w:r>
          </w:p>
        </w:tc>
        <w:tc>
          <w:tcPr>
            <w:tcW w:w="0" w:type="auto"/>
            <w:vAlign w:val="center"/>
          </w:tcPr>
          <w:p w:rsidR="00496C8A" w:rsidRPr="00D04354" w:rsidRDefault="008B0EE3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5" w:history="1">
              <w:r w:rsidR="00496C8A" w:rsidRPr="00D04354">
                <w:rPr>
                  <w:rStyle w:val="Hyperlink"/>
                  <w:rFonts w:ascii="Arial" w:hAnsi="Arial" w:cs="Arial"/>
                  <w:sz w:val="14"/>
                  <w:szCs w:val="14"/>
                </w:rPr>
                <w:t>http://coxpresdb.jp</w:t>
              </w:r>
            </w:hyperlink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sz w:val="14"/>
                <w:szCs w:val="14"/>
              </w:rPr>
              <w:t>[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6" w:history="1">
              <w:r w:rsidR="00344477" w:rsidRPr="00D04354">
                <w:rPr>
                  <w:rStyle w:val="Hyperlink"/>
                  <w:rFonts w:ascii="Arial" w:hAnsi="Arial" w:cs="Arial"/>
                  <w:bCs/>
                  <w:sz w:val="14"/>
                  <w:szCs w:val="14"/>
                </w:rPr>
                <w:t>http://www.GeneFriends.org</w:t>
              </w:r>
            </w:hyperlink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bCs/>
                <w:color w:val="FF0000"/>
                <w:sz w:val="14"/>
                <w:szCs w:val="14"/>
              </w:rPr>
              <w:t>[46,47]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altered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caudate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patients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EBI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Array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Express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entry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E-AFMX-6,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processed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data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from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Hodges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al.,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2006,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Hum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Mol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Genet.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15,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965-977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color w:val="FF0000"/>
                <w:sz w:val="14"/>
                <w:szCs w:val="14"/>
              </w:rPr>
              <w:t>[48]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Polymorphic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variations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that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modulates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age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onset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http://www.ncbi.nlm.nih.gov/pubmed/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(reviews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mainly)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Target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Validation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Score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(TVS):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that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may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be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targets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treatment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taken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from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Cross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Road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website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published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04354">
              <w:rPr>
                <w:rFonts w:ascii="Arial" w:hAnsi="Arial" w:cs="Arial"/>
                <w:sz w:val="14"/>
                <w:szCs w:val="14"/>
              </w:rPr>
              <w:t>Kalathur</w:t>
            </w:r>
            <w:proofErr w:type="spellEnd"/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RKR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al.,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2012,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BMC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Neurology,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12,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47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color w:val="FF0000"/>
                <w:sz w:val="14"/>
                <w:szCs w:val="14"/>
              </w:rPr>
              <w:t>[89]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Tissue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specific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expression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genes,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t</w:t>
            </w:r>
            <w:r w:rsidRPr="00D04354">
              <w:rPr>
                <w:rFonts w:ascii="Arial" w:hAnsi="Arial" w:cs="Arial"/>
                <w:sz w:val="14"/>
                <w:szCs w:val="14"/>
              </w:rPr>
              <w:t>argets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FDA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approved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drugs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110" w:rsidRPr="00D04354">
              <w:rPr>
                <w:rFonts w:ascii="Arial" w:hAnsi="Arial" w:cs="Arial"/>
                <w:sz w:val="14"/>
                <w:szCs w:val="14"/>
              </w:rPr>
              <w:t>p</w:t>
            </w:r>
            <w:r w:rsidRPr="00D04354">
              <w:rPr>
                <w:rFonts w:ascii="Arial" w:hAnsi="Arial" w:cs="Arial"/>
                <w:sz w:val="14"/>
                <w:szCs w:val="14"/>
              </w:rPr>
              <w:t>robable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targets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drugs</w:t>
            </w:r>
          </w:p>
        </w:tc>
        <w:tc>
          <w:tcPr>
            <w:tcW w:w="0" w:type="auto"/>
            <w:vAlign w:val="center"/>
          </w:tcPr>
          <w:p w:rsidR="00496C8A" w:rsidRPr="00D04354" w:rsidRDefault="008B0EE3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496C8A" w:rsidRPr="00D04354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http://www.proteinatlas.org/</w:t>
              </w:r>
            </w:hyperlink>
            <w:r w:rsidR="00496C8A" w:rsidRPr="00D04354">
              <w:rPr>
                <w:rFonts w:ascii="Arial" w:hAnsi="Arial" w:cs="Arial"/>
                <w:sz w:val="14"/>
                <w:szCs w:val="14"/>
              </w:rPr>
              <w:t>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96C8A" w:rsidRPr="00D04354">
              <w:rPr>
                <w:rFonts w:ascii="Arial" w:hAnsi="Arial" w:cs="Arial"/>
                <w:sz w:val="14"/>
                <w:szCs w:val="14"/>
              </w:rPr>
              <w:t>Uhlén</w:t>
            </w:r>
            <w:proofErr w:type="spellEnd"/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et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al.,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2015,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Science,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347,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6C8A" w:rsidRPr="00D04354">
              <w:rPr>
                <w:rFonts w:ascii="Arial" w:hAnsi="Arial" w:cs="Arial"/>
                <w:sz w:val="14"/>
                <w:szCs w:val="14"/>
              </w:rPr>
              <w:t>1260419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color w:val="FF0000"/>
                <w:sz w:val="14"/>
                <w:szCs w:val="14"/>
              </w:rPr>
              <w:t>[56]</w:t>
            </w: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Enrichment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analysis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(a)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Biological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processes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(BP)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defined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by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Ontology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(GO),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(b)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Kyoto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Encyclopedia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Genomes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(KEGG)</w:t>
            </w:r>
            <w:r w:rsidR="006575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bCs/>
                <w:sz w:val="14"/>
                <w:szCs w:val="14"/>
              </w:rPr>
              <w:t>pathways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GeneCodis3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</w:t>
            </w:r>
            <w:hyperlink r:id="rId8" w:history="1">
              <w:r w:rsidRPr="00D04354">
                <w:rPr>
                  <w:rStyle w:val="Hyperlink"/>
                  <w:rFonts w:ascii="Arial" w:hAnsi="Arial" w:cs="Arial"/>
                  <w:sz w:val="14"/>
                  <w:szCs w:val="14"/>
                </w:rPr>
                <w:t>http://genecodis.dacya.ucm.es/</w:t>
              </w:r>
            </w:hyperlink>
            <w:r w:rsidRPr="00D04354">
              <w:rPr>
                <w:rFonts w:ascii="Arial" w:hAnsi="Arial" w:cs="Arial"/>
                <w:sz w:val="14"/>
                <w:szCs w:val="14"/>
              </w:rPr>
              <w:t>),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04354">
              <w:rPr>
                <w:rFonts w:ascii="Arial" w:hAnsi="Arial" w:cs="Arial"/>
                <w:sz w:val="14"/>
                <w:szCs w:val="14"/>
              </w:rPr>
              <w:t>Tabas</w:t>
            </w:r>
            <w:proofErr w:type="spellEnd"/>
            <w:r w:rsidRPr="00D04354">
              <w:rPr>
                <w:rFonts w:ascii="Arial" w:hAnsi="Arial" w:cs="Arial"/>
                <w:sz w:val="14"/>
                <w:szCs w:val="14"/>
              </w:rPr>
              <w:t>-Madrid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et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al.,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2012,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Nucleic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Acids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Res.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40,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(Web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Server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issue):W478-W483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4477" w:rsidRPr="00D04354">
              <w:rPr>
                <w:rFonts w:ascii="Arial" w:hAnsi="Arial" w:cs="Arial"/>
                <w:color w:val="FF0000"/>
                <w:sz w:val="14"/>
                <w:szCs w:val="14"/>
              </w:rPr>
              <w:t>[55]</w:t>
            </w:r>
          </w:p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6C8A" w:rsidRPr="00D04354" w:rsidTr="00D04354">
        <w:trPr>
          <w:jc w:val="center"/>
        </w:trPr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Ontology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(GO)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descriptors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Biological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Processes</w:t>
            </w:r>
          </w:p>
        </w:tc>
        <w:tc>
          <w:tcPr>
            <w:tcW w:w="0" w:type="auto"/>
            <w:vAlign w:val="center"/>
          </w:tcPr>
          <w:p w:rsidR="00496C8A" w:rsidRPr="00D04354" w:rsidRDefault="00496C8A" w:rsidP="00D043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4354">
              <w:rPr>
                <w:rFonts w:ascii="Arial" w:hAnsi="Arial" w:cs="Arial"/>
                <w:sz w:val="14"/>
                <w:szCs w:val="14"/>
              </w:rPr>
              <w:t>Data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downloaded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4354">
              <w:rPr>
                <w:rFonts w:ascii="Arial" w:hAnsi="Arial" w:cs="Arial"/>
                <w:sz w:val="14"/>
                <w:szCs w:val="14"/>
              </w:rPr>
              <w:t>from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9" w:history="1">
              <w:r w:rsidR="00DD7FB5" w:rsidRPr="00D04354">
                <w:rPr>
                  <w:rStyle w:val="Hyperlink"/>
                  <w:rFonts w:ascii="Arial" w:hAnsi="Arial" w:cs="Arial"/>
                  <w:sz w:val="14"/>
                  <w:szCs w:val="14"/>
                </w:rPr>
                <w:t>http://asia.ensembl.org/biomart/martview/</w:t>
              </w:r>
            </w:hyperlink>
            <w:r w:rsidR="00DD7FB5" w:rsidRPr="00D04354">
              <w:rPr>
                <w:rFonts w:ascii="Arial" w:hAnsi="Arial" w:cs="Arial"/>
                <w:sz w:val="14"/>
                <w:szCs w:val="14"/>
              </w:rPr>
              <w:t>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FB5" w:rsidRPr="00D04354">
              <w:rPr>
                <w:rFonts w:ascii="Arial" w:hAnsi="Arial" w:cs="Arial"/>
                <w:sz w:val="14"/>
                <w:szCs w:val="14"/>
              </w:rPr>
              <w:t>accessed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FB5" w:rsidRPr="00D04354">
              <w:rPr>
                <w:rFonts w:ascii="Arial" w:hAnsi="Arial" w:cs="Arial"/>
                <w:sz w:val="14"/>
                <w:szCs w:val="14"/>
              </w:rPr>
              <w:t>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FB5" w:rsidRPr="00D04354">
              <w:rPr>
                <w:rFonts w:ascii="Arial" w:hAnsi="Arial" w:cs="Arial"/>
                <w:sz w:val="14"/>
                <w:szCs w:val="14"/>
              </w:rPr>
              <w:t>Sept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FB5" w:rsidRPr="00D04354">
              <w:rPr>
                <w:rFonts w:ascii="Arial" w:hAnsi="Arial" w:cs="Arial"/>
                <w:sz w:val="14"/>
                <w:szCs w:val="14"/>
              </w:rPr>
              <w:t>4,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FB5" w:rsidRPr="00D0435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</w:tr>
    </w:tbl>
    <w:p w:rsidR="00496C8A" w:rsidRDefault="00496C8A" w:rsidP="00496C8A">
      <w:pPr>
        <w:jc w:val="both"/>
      </w:pPr>
    </w:p>
    <w:p w:rsidR="002D7F9C" w:rsidRPr="00A837B1" w:rsidRDefault="00700889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="00473A10" w:rsidRPr="00A837B1">
        <w:rPr>
          <w:b/>
          <w:sz w:val="20"/>
          <w:szCs w:val="20"/>
        </w:rPr>
        <w:t>T</w:t>
      </w:r>
      <w:r w:rsidR="008C26A1" w:rsidRPr="00A837B1">
        <w:rPr>
          <w:b/>
          <w:sz w:val="20"/>
          <w:szCs w:val="20"/>
        </w:rPr>
        <w:t>2</w:t>
      </w:r>
      <w:r w:rsidR="00AB6E36" w:rsidRPr="00A837B1">
        <w:rPr>
          <w:b/>
          <w:sz w:val="20"/>
          <w:szCs w:val="20"/>
        </w:rPr>
        <w:t>:</w:t>
      </w:r>
      <w:r w:rsidR="0065753B" w:rsidRPr="00A837B1">
        <w:rPr>
          <w:sz w:val="20"/>
          <w:szCs w:val="20"/>
        </w:rPr>
        <w:t xml:space="preserve"> </w:t>
      </w:r>
      <w:r w:rsidR="00AB6E36"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AB6E36"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="00AB6E36" w:rsidRPr="00A837B1">
        <w:rPr>
          <w:sz w:val="20"/>
          <w:szCs w:val="20"/>
        </w:rPr>
        <w:t>proteins</w:t>
      </w:r>
      <w:r w:rsidR="003A1E89" w:rsidRPr="00A837B1">
        <w:rPr>
          <w:sz w:val="20"/>
          <w:szCs w:val="20"/>
        </w:rPr>
        <w:t>.</w:t>
      </w:r>
    </w:p>
    <w:p w:rsidR="00AB6E36" w:rsidRPr="00A837B1" w:rsidRDefault="00AB6E36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function(s)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partners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Yeast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Hybrid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(Y2H)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[16-18]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affinity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pulls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followed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spectrometry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[18]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approach,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isolated,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separated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spectrometry</w:t>
      </w:r>
      <w:r w:rsidR="0065753B" w:rsidRPr="00A837B1">
        <w:rPr>
          <w:sz w:val="20"/>
          <w:szCs w:val="20"/>
        </w:rPr>
        <w:t xml:space="preserve"> </w:t>
      </w:r>
      <w:r w:rsidR="004D6D01" w:rsidRPr="00A837B1">
        <w:rPr>
          <w:color w:val="FF0000"/>
          <w:sz w:val="20"/>
          <w:szCs w:val="20"/>
        </w:rPr>
        <w:t>[22]</w:t>
      </w:r>
      <w:r w:rsidR="004D6D01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Faber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Huntington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Yeast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Hybrid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(HYPs)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Y2H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color w:val="FF0000"/>
          <w:sz w:val="20"/>
          <w:szCs w:val="20"/>
        </w:rPr>
        <w:t>[16]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Y2H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subject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false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positives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[23]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necessary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establish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physical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second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several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cases.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Some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subsequently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validated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establish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pathology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cultured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small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animal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second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Immuno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Precipitation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(IP);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example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see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[STR1]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similar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Y2H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Goehler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19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earlier.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new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confirmed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hundred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thirty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four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stringent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conditions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Y2H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(104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affinity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followed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spectrometry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(130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extracts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types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common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Eight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randomly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chosen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confirmed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tested.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~63%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obtained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throughput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true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partner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attempt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establish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randomly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chosen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obtained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tested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over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together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homologous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About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80%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(48/60)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might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sz w:val="20"/>
          <w:szCs w:val="20"/>
        </w:rPr>
        <w:t>[18]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result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collected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154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designated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validated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hundred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seventy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four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throughput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confirmed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subsequently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Recently,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1200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through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[19-21]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published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collated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328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154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</w:t>
      </w:r>
      <w:proofErr w:type="spellStart"/>
      <w:r w:rsidRPr="00A837B1">
        <w:rPr>
          <w:sz w:val="20"/>
          <w:szCs w:val="20"/>
        </w:rPr>
        <w:t>immunoprecipitation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(Co-IP)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relevance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partners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determined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described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above.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174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non-validated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[18]</w:t>
      </w:r>
      <w:r w:rsidRPr="00A837B1">
        <w:rPr>
          <w:b/>
          <w:sz w:val="20"/>
          <w:szCs w:val="20"/>
        </w:rPr>
        <w:t>,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68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published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paper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recently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further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collated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[19-21]</w:t>
      </w:r>
      <w:r w:rsidRPr="00A837B1">
        <w:rPr>
          <w:sz w:val="20"/>
          <w:szCs w:val="20"/>
        </w:rPr>
        <w:t>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132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Besides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PRKRA,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GNB2L1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confirmed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Co-IP.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N-terminal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expanded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lastRenderedPageBreak/>
        <w:t>polyQ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length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pathological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ranges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355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confirmed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co-IP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large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scale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spectrometric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relevance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Recently</w:t>
      </w:r>
      <w:r w:rsidR="005D0110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Caveolin</w:t>
      </w:r>
      <w:r w:rsidRPr="00A837B1">
        <w:rPr>
          <w:sz w:val="20"/>
          <w:szCs w:val="20"/>
        </w:rPr>
        <w:t>-1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(CAV1)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accumulation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cholesterol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compromised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caveolar</w:t>
      </w:r>
      <w:proofErr w:type="spellEnd"/>
      <w:r w:rsidRPr="00A837B1">
        <w:rPr>
          <w:sz w:val="20"/>
          <w:szCs w:val="20"/>
        </w:rPr>
        <w:t>-related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post-Golgi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trafficking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endoplasmic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reticulum/Golgi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plasma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membrane.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CAV1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rescues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cholesterol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phenotype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significantly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delays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onset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decline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development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inclusions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[27]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Methyl</w:t>
      </w:r>
      <w:r w:rsidRPr="00A837B1">
        <w:rPr>
          <w:sz w:val="20"/>
          <w:szCs w:val="20"/>
        </w:rPr>
        <w:t>-CpG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(MeCP2)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preferentially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nucleus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compared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cytoplasm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MeCP2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strongly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Brain-Derived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Neurotrophic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Factor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(BDNF)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presence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MeCP2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BDNF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[24]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MeCP2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axonal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transport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BDNF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mediated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through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partner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HAP1</w:t>
      </w:r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[30]</w:t>
      </w:r>
      <w:r w:rsidR="004D6D01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MeCP2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might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HIP14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homolog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HIP14L/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ZDHHC13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first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amino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acid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similarity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HIP14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later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bona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fide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interactor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interacts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weekly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mHTT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DD7FB5" w:rsidRPr="00A837B1">
        <w:rPr>
          <w:color w:val="FF0000"/>
          <w:sz w:val="20"/>
          <w:szCs w:val="20"/>
        </w:rPr>
        <w:t>[31</w:t>
      </w:r>
      <w:r w:rsidR="004D6D01" w:rsidRPr="00A837B1">
        <w:rPr>
          <w:color w:val="FF0000"/>
          <w:sz w:val="20"/>
          <w:szCs w:val="20"/>
        </w:rPr>
        <w:t>,STR2]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Hip14L/ZDHHC13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exhibit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neuropathological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behavioral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features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indicating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4D6D01" w:rsidRPr="00A837B1">
        <w:rPr>
          <w:color w:val="FF0000"/>
          <w:sz w:val="20"/>
          <w:szCs w:val="20"/>
        </w:rPr>
        <w:t>[29]</w:t>
      </w:r>
      <w:r w:rsidRPr="00A837B1">
        <w:rPr>
          <w:b/>
          <w:sz w:val="20"/>
          <w:szCs w:val="20"/>
        </w:rPr>
        <w:t>.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EZR,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PIK3R1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RAC1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b/>
          <w:sz w:val="20"/>
          <w:szCs w:val="20"/>
        </w:rPr>
        <w:t xml:space="preserve"> </w:t>
      </w:r>
      <w:r w:rsidR="00082AE8" w:rsidRPr="00A837B1">
        <w:rPr>
          <w:color w:val="FF0000"/>
          <w:sz w:val="20"/>
          <w:szCs w:val="20"/>
        </w:rPr>
        <w:t>[18]</w:t>
      </w:r>
      <w:r w:rsidR="00082AE8" w:rsidRPr="00A837B1">
        <w:rPr>
          <w:sz w:val="20"/>
          <w:szCs w:val="20"/>
        </w:rPr>
        <w:t>.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Recently,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EZR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RAC1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EZR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RAC1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enhancer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PIK3R1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enhances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suppressor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4D6D01" w:rsidRPr="00A837B1">
        <w:rPr>
          <w:color w:val="FF0000"/>
          <w:sz w:val="20"/>
          <w:szCs w:val="20"/>
        </w:rPr>
        <w:t>[26]</w:t>
      </w:r>
      <w:r w:rsidR="004D6D01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Ubiquilin-2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Ubiquilin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chaperones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help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degradation.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Presence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Ubiquilin-2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throughout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progression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disease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indicates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co-localization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ubiquilin-2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facilitate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removal</w:t>
      </w:r>
      <w:r w:rsidR="0065753B" w:rsidRPr="00A837B1">
        <w:rPr>
          <w:color w:val="FF0000"/>
          <w:sz w:val="20"/>
          <w:szCs w:val="20"/>
        </w:rPr>
        <w:t xml:space="preserve"> </w:t>
      </w:r>
      <w:r w:rsidR="004D6D01" w:rsidRPr="00A837B1">
        <w:rPr>
          <w:color w:val="FF0000"/>
          <w:sz w:val="20"/>
          <w:szCs w:val="20"/>
        </w:rPr>
        <w:t>[28]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combined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catalogued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sz w:val="20"/>
          <w:szCs w:val="20"/>
        </w:rPr>
        <w:t>361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well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characterized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S1</w:t>
      </w:r>
      <w:r w:rsidRPr="00A837B1">
        <w:rPr>
          <w:b/>
          <w:sz w:val="20"/>
          <w:szCs w:val="20"/>
        </w:rPr>
        <w:t>.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While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preparing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manuscript,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about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100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partners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</w:t>
      </w:r>
      <w:r w:rsidR="005D0110" w:rsidRPr="00A837B1">
        <w:rPr>
          <w:sz w:val="20"/>
          <w:szCs w:val="20"/>
        </w:rPr>
        <w:t>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="004D6D01" w:rsidRPr="00A837B1">
        <w:rPr>
          <w:color w:val="FF0000"/>
          <w:sz w:val="20"/>
          <w:szCs w:val="20"/>
        </w:rPr>
        <w:t>[32]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included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present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manuscript</w:t>
      </w:r>
      <w:r w:rsidRPr="00A837B1">
        <w:rPr>
          <w:b/>
          <w:sz w:val="20"/>
          <w:szCs w:val="20"/>
        </w:rPr>
        <w:t>.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Sixteen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common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validated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made.</w:t>
      </w:r>
    </w:p>
    <w:p w:rsidR="004D6D01" w:rsidRPr="00A837B1" w:rsidRDefault="004D6D01" w:rsidP="00A837B1">
      <w:pPr>
        <w:spacing w:line="360" w:lineRule="auto"/>
        <w:jc w:val="both"/>
        <w:rPr>
          <w:sz w:val="20"/>
          <w:szCs w:val="20"/>
        </w:rPr>
      </w:pPr>
    </w:p>
    <w:p w:rsidR="008C26A1" w:rsidRPr="00A837B1" w:rsidRDefault="008C26A1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="00473A10" w:rsidRPr="00A837B1">
        <w:rPr>
          <w:b/>
          <w:sz w:val="20"/>
          <w:szCs w:val="20"/>
        </w:rPr>
        <w:t>T</w:t>
      </w:r>
      <w:r w:rsidRPr="00A837B1">
        <w:rPr>
          <w:b/>
          <w:sz w:val="20"/>
          <w:szCs w:val="20"/>
        </w:rPr>
        <w:t>3</w:t>
      </w:r>
      <w:r w:rsidR="00167FE7" w:rsidRPr="00A837B1">
        <w:rPr>
          <w:b/>
          <w:sz w:val="20"/>
          <w:szCs w:val="20"/>
        </w:rPr>
        <w:t>:</w:t>
      </w:r>
      <w:r w:rsidR="0065753B" w:rsidRPr="00A837B1">
        <w:rPr>
          <w:b/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identification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167FE7" w:rsidRPr="00A837B1">
        <w:rPr>
          <w:sz w:val="20"/>
          <w:szCs w:val="20"/>
        </w:rPr>
        <w:t>Modulators</w:t>
      </w:r>
      <w:r w:rsidR="0065753B" w:rsidRPr="00A837B1">
        <w:rPr>
          <w:sz w:val="20"/>
          <w:szCs w:val="20"/>
        </w:rPr>
        <w:t xml:space="preserve"> </w:t>
      </w:r>
      <w:r w:rsidR="00167FE7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167FE7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167FE7" w:rsidRPr="00A837B1">
        <w:rPr>
          <w:sz w:val="20"/>
          <w:szCs w:val="20"/>
        </w:rPr>
        <w:t>pathogenesis</w:t>
      </w:r>
      <w:r w:rsidR="003A1E89" w:rsidRPr="00A837B1">
        <w:rPr>
          <w:b/>
          <w:sz w:val="20"/>
          <w:szCs w:val="20"/>
        </w:rPr>
        <w:t>.</w:t>
      </w:r>
    </w:p>
    <w:p w:rsidR="00AB6E36" w:rsidRPr="00A837B1" w:rsidRDefault="00AB6E36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Several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small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animal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utilized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modulators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studying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effects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and/or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include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proofErr w:type="spellStart"/>
      <w:r w:rsidRPr="00A837B1">
        <w:rPr>
          <w:i/>
          <w:color w:val="FF0000"/>
          <w:sz w:val="20"/>
          <w:szCs w:val="20"/>
        </w:rPr>
        <w:t>cerevisiae</w:t>
      </w:r>
      <w:proofErr w:type="spellEnd"/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sz w:val="20"/>
          <w:szCs w:val="20"/>
        </w:rPr>
        <w:t>(Yeast),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worm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D.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melanogaster)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human/mouse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culture.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small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nematode,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Caenorhabditis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small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nematode),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transfected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Green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Fluorescent</w:t>
      </w:r>
      <w:r w:rsidR="0065753B" w:rsidRPr="00A837B1">
        <w:rPr>
          <w:sz w:val="20"/>
          <w:szCs w:val="20"/>
        </w:rPr>
        <w:t xml:space="preserve"> </w:t>
      </w:r>
      <w:r w:rsidR="003A1E89"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(GFP)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tagged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coding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expanded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3A1E89" w:rsidRPr="00A837B1">
        <w:rPr>
          <w:sz w:val="20"/>
          <w:szCs w:val="20"/>
        </w:rPr>
        <w:t>Polyglutamine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(poly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Q)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exhibit</w:t>
      </w:r>
      <w:r w:rsidR="0084590B" w:rsidRPr="00A837B1">
        <w:rPr>
          <w:sz w:val="20"/>
          <w:szCs w:val="20"/>
        </w:rPr>
        <w:t>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poly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Q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length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</w:t>
      </w:r>
      <w:r w:rsidR="005D0110" w:rsidRPr="00A837B1">
        <w:rPr>
          <w:sz w:val="20"/>
          <w:szCs w:val="20"/>
        </w:rPr>
        <w:t>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similar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brains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animal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[STR3]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Q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expansion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disease</w:t>
      </w:r>
      <w:r w:rsidR="005D0110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worm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Hsp70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F26D10.3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C37H5.8</w:t>
      </w:r>
      <w:r w:rsidRPr="00A837B1">
        <w:rPr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single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J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domain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F18C12.2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hsf-1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Y53C10.A12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result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effect.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RNAi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library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16,757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out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19,427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total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186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earlier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onset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phenotype.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lastRenderedPageBreak/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early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expected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over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help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directly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indirectly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slow</w:t>
      </w:r>
      <w:r w:rsidR="005D0110" w:rsidRPr="00A837B1">
        <w:rPr>
          <w:sz w:val="20"/>
          <w:szCs w:val="20"/>
        </w:rPr>
        <w:t>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processes.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could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suppress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“suppressor”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categorization</w:t>
      </w:r>
      <w:r w:rsidR="005D0110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belong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broad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classes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RNA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metabolism,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synthesis,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folding,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trafficking,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components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proteasome</w:t>
      </w:r>
      <w:proofErr w:type="spellEnd"/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homolgues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known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[34]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Subsequently,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orthologs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shRNA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constructs,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orthologs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186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modifier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effect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</w:t>
      </w:r>
      <w:r w:rsidR="005D0110" w:rsidRPr="00A837B1">
        <w:rPr>
          <w:sz w:val="20"/>
          <w:szCs w:val="20"/>
        </w:rPr>
        <w:t>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eukaryotic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initiation;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elongation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termination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factors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</w:t>
      </w:r>
      <w:r w:rsidR="005D0110" w:rsidRPr="00A837B1">
        <w:rPr>
          <w:sz w:val="20"/>
          <w:szCs w:val="20"/>
        </w:rPr>
        <w:t>s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[38]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</w:p>
    <w:p w:rsidR="00AB6E36" w:rsidRPr="00A837B1" w:rsidRDefault="00AB6E36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There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few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Drosophila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screening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classified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“suppressor”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“enhancer”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depending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their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ability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suppress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enhance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process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formation.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“suppressor”.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background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“enhancer”.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many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repressor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enhancer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[37</w:t>
      </w:r>
      <w:proofErr w:type="gramStart"/>
      <w:r w:rsidR="005D0110" w:rsidRPr="00A837B1">
        <w:rPr>
          <w:color w:val="FF0000"/>
          <w:sz w:val="20"/>
          <w:szCs w:val="20"/>
        </w:rPr>
        <w:t>,39</w:t>
      </w:r>
      <w:proofErr w:type="gramEnd"/>
      <w:r w:rsidR="00A1355D" w:rsidRPr="00A837B1">
        <w:rPr>
          <w:color w:val="FF0000"/>
          <w:sz w:val="20"/>
          <w:szCs w:val="20"/>
        </w:rPr>
        <w:t>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Taking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obtained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5D0110" w:rsidRPr="00A837B1">
        <w:rPr>
          <w:sz w:val="20"/>
          <w:szCs w:val="20"/>
        </w:rPr>
        <w:t>s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[33]</w:t>
      </w:r>
      <w:r w:rsidRPr="00A837B1">
        <w:rPr>
          <w:b/>
          <w:sz w:val="20"/>
          <w:szCs w:val="20"/>
        </w:rPr>
        <w:t>,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C.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[34</w:t>
      </w:r>
      <w:proofErr w:type="gramStart"/>
      <w:r w:rsidR="00A1355D" w:rsidRPr="00A837B1">
        <w:rPr>
          <w:color w:val="FF0000"/>
          <w:sz w:val="20"/>
          <w:szCs w:val="20"/>
        </w:rPr>
        <w:t>,40</w:t>
      </w:r>
      <w:proofErr w:type="gramEnd"/>
      <w:r w:rsidR="00A1355D" w:rsidRPr="00A837B1">
        <w:rPr>
          <w:color w:val="FF0000"/>
          <w:sz w:val="20"/>
          <w:szCs w:val="20"/>
        </w:rPr>
        <w:t>]</w:t>
      </w:r>
      <w:r w:rsidR="005D0110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HD</w:t>
      </w:r>
      <w:r w:rsidR="0065753B" w:rsidRPr="00A837B1">
        <w:rPr>
          <w:b/>
          <w:sz w:val="20"/>
          <w:szCs w:val="20"/>
        </w:rPr>
        <w:t xml:space="preserve"> </w:t>
      </w:r>
      <w:r w:rsidR="005D0110" w:rsidRPr="00A837B1">
        <w:rPr>
          <w:color w:val="FF0000"/>
          <w:sz w:val="20"/>
          <w:szCs w:val="20"/>
        </w:rPr>
        <w:t>[35-37]</w:t>
      </w:r>
      <w:r w:rsidR="005D0110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b/>
          <w:sz w:val="20"/>
          <w:szCs w:val="20"/>
        </w:rPr>
        <w:t xml:space="preserve"> </w:t>
      </w:r>
      <w:r w:rsidR="00A1355D" w:rsidRPr="00A837B1">
        <w:rPr>
          <w:color w:val="FF0000"/>
          <w:sz w:val="20"/>
          <w:szCs w:val="20"/>
        </w:rPr>
        <w:t>[38</w:t>
      </w:r>
      <w:r w:rsidR="005D0110" w:rsidRPr="00A837B1">
        <w:rPr>
          <w:color w:val="FF0000"/>
          <w:sz w:val="20"/>
          <w:szCs w:val="20"/>
        </w:rPr>
        <w:t>,41</w:t>
      </w:r>
      <w:r w:rsidR="00A1355D" w:rsidRPr="00A837B1">
        <w:rPr>
          <w:color w:val="FF0000"/>
          <w:sz w:val="20"/>
          <w:szCs w:val="20"/>
        </w:rPr>
        <w:t>]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orthologues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small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animal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including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yeast,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collected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pathogenesis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omitted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those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gene</w:t>
      </w:r>
      <w:r w:rsidR="00B85A3F" w:rsidRPr="00A837B1">
        <w:rPr>
          <w:sz w:val="20"/>
          <w:szCs w:val="20"/>
        </w:rPr>
        <w:t>s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had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opposite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trend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experiments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B85A3F" w:rsidRPr="00A837B1">
        <w:rPr>
          <w:sz w:val="20"/>
          <w:szCs w:val="20"/>
        </w:rPr>
        <w:t>pseudogenes</w:t>
      </w:r>
      <w:proofErr w:type="spellEnd"/>
      <w:r w:rsidR="004A19E1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example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AFG3L1/AFG3L1P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pseudo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omitted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list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genes,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HSPA8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UFD1L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but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showed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opposite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trend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experiments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4A19E1" w:rsidRPr="00A837B1">
        <w:rPr>
          <w:sz w:val="20"/>
          <w:szCs w:val="20"/>
        </w:rPr>
        <w:t>list.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However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if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="005D0110"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experiments,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taken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result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consistent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experiments.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example,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h</w:t>
      </w:r>
      <w:r w:rsidR="00B85A3F" w:rsidRPr="00A837B1">
        <w:rPr>
          <w:sz w:val="20"/>
          <w:szCs w:val="20"/>
        </w:rPr>
        <w:t>uman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homologue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NAG/NAGLU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suppressor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studies,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while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one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study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enhancer.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Thus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our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list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suppressor.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Altogether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594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unique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collected.</w:t>
      </w:r>
      <w:r w:rsidR="0065753B" w:rsidRPr="00A837B1">
        <w:rPr>
          <w:sz w:val="20"/>
          <w:szCs w:val="20"/>
        </w:rPr>
        <w:t xml:space="preserve"> </w:t>
      </w:r>
      <w:r w:rsidR="00B85A3F" w:rsidRPr="00A837B1">
        <w:rPr>
          <w:sz w:val="20"/>
          <w:szCs w:val="20"/>
        </w:rPr>
        <w:t>H</w:t>
      </w:r>
      <w:r w:rsidRPr="00A837B1">
        <w:rPr>
          <w:sz w:val="20"/>
          <w:szCs w:val="20"/>
        </w:rPr>
        <w:t>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homologous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yeast,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fruit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C.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elegans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phenotypes.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‘‘Enhancer’’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defined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genetically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causes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</w:t>
      </w:r>
      <w:r w:rsidR="00D97CDD" w:rsidRPr="00A837B1">
        <w:rPr>
          <w:sz w:val="20"/>
          <w:szCs w:val="20"/>
        </w:rPr>
        <w:t>tion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after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RNAi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mediated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D97CDD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assay.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Conversely,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‘‘suppressor’’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defined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causes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="004406BD" w:rsidRPr="00A837B1">
        <w:rPr>
          <w:color w:val="FF0000"/>
          <w:sz w:val="20"/>
          <w:szCs w:val="20"/>
        </w:rPr>
        <w:t>[37</w:t>
      </w:r>
      <w:proofErr w:type="gramStart"/>
      <w:r w:rsidR="004406BD" w:rsidRPr="00A837B1">
        <w:rPr>
          <w:color w:val="FF0000"/>
          <w:sz w:val="20"/>
          <w:szCs w:val="20"/>
        </w:rPr>
        <w:t>,39</w:t>
      </w:r>
      <w:proofErr w:type="gramEnd"/>
      <w:r w:rsidR="004406BD" w:rsidRPr="00A837B1">
        <w:rPr>
          <w:color w:val="FF0000"/>
          <w:sz w:val="20"/>
          <w:szCs w:val="20"/>
        </w:rPr>
        <w:t>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criterion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240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</w:t>
      </w:r>
      <w:r w:rsidR="00D97CDD" w:rsidRPr="00A837B1">
        <w:rPr>
          <w:sz w:val="20"/>
          <w:szCs w:val="20"/>
        </w:rPr>
        <w:t>e</w:t>
      </w:r>
      <w:r w:rsidRPr="00A837B1">
        <w:rPr>
          <w:sz w:val="20"/>
          <w:szCs w:val="20"/>
        </w:rPr>
        <w:t>nhancer”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359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designated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</w:t>
      </w:r>
      <w:r w:rsidR="00D97CDD" w:rsidRPr="00A837B1">
        <w:rPr>
          <w:sz w:val="20"/>
          <w:szCs w:val="20"/>
        </w:rPr>
        <w:t>s</w:t>
      </w:r>
      <w:r w:rsidRPr="00A837B1">
        <w:rPr>
          <w:sz w:val="20"/>
          <w:szCs w:val="20"/>
        </w:rPr>
        <w:t>uppressor”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S2</w:t>
      </w:r>
      <w:r w:rsidRPr="00A837B1">
        <w:rPr>
          <w:b/>
          <w:sz w:val="20"/>
          <w:szCs w:val="20"/>
        </w:rPr>
        <w:t>.</w:t>
      </w:r>
    </w:p>
    <w:p w:rsidR="00697B09" w:rsidRPr="00A837B1" w:rsidRDefault="00697B09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Recently</w:t>
      </w:r>
      <w:r w:rsidR="004D5A38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modulated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included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our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list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[STR4</w:t>
      </w:r>
      <w:proofErr w:type="gramStart"/>
      <w:r w:rsidRPr="00A837B1">
        <w:rPr>
          <w:color w:val="FF0000"/>
          <w:sz w:val="20"/>
          <w:szCs w:val="20"/>
        </w:rPr>
        <w:t>,STR5</w:t>
      </w:r>
      <w:proofErr w:type="gramEnd"/>
      <w:r w:rsidRPr="00A837B1">
        <w:rPr>
          <w:color w:val="FF0000"/>
          <w:sz w:val="20"/>
          <w:szCs w:val="20"/>
        </w:rPr>
        <w:t>]</w:t>
      </w:r>
      <w:r w:rsidR="003A1E89" w:rsidRPr="00A837B1">
        <w:rPr>
          <w:sz w:val="20"/>
          <w:szCs w:val="20"/>
        </w:rPr>
        <w:t>.</w:t>
      </w:r>
    </w:p>
    <w:p w:rsidR="00E2040C" w:rsidRPr="00A837B1" w:rsidRDefault="002D7F9C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="00473A10" w:rsidRPr="00A837B1">
        <w:rPr>
          <w:b/>
          <w:sz w:val="20"/>
          <w:szCs w:val="20"/>
        </w:rPr>
        <w:t>T</w:t>
      </w:r>
      <w:r w:rsidRPr="00A837B1">
        <w:rPr>
          <w:b/>
          <w:sz w:val="20"/>
          <w:szCs w:val="20"/>
        </w:rPr>
        <w:t>4</w:t>
      </w:r>
      <w:r w:rsidR="002F26FC" w:rsidRPr="00A837B1">
        <w:rPr>
          <w:b/>
          <w:sz w:val="20"/>
          <w:szCs w:val="20"/>
        </w:rPr>
        <w:t>:</w:t>
      </w:r>
      <w:r w:rsidR="0065753B" w:rsidRPr="00A837B1">
        <w:rPr>
          <w:b/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="002F26FC" w:rsidRPr="00A837B1">
        <w:rPr>
          <w:i/>
          <w:color w:val="FF0000"/>
          <w:sz w:val="20"/>
          <w:szCs w:val="20"/>
        </w:rPr>
        <w:t>HTT</w:t>
      </w:r>
      <w:r w:rsidR="00CD60E1" w:rsidRPr="00A837B1">
        <w:rPr>
          <w:i/>
          <w:color w:val="FF0000"/>
          <w:sz w:val="20"/>
          <w:szCs w:val="20"/>
        </w:rPr>
        <w:t>.</w:t>
      </w:r>
    </w:p>
    <w:p w:rsidR="0068594D" w:rsidRPr="00A837B1" w:rsidRDefault="0068594D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i/>
          <w:color w:val="FF0000"/>
          <w:sz w:val="20"/>
          <w:szCs w:val="20"/>
        </w:rPr>
        <w:t>HTT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co-expression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genes</w:t>
      </w:r>
    </w:p>
    <w:p w:rsidR="0068594D" w:rsidRPr="00A837B1" w:rsidRDefault="0068594D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bCs/>
          <w:sz w:val="20"/>
          <w:szCs w:val="20"/>
        </w:rPr>
        <w:t>Networks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by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co-expressed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together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provide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important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information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regarding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function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their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regulation.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relatively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unknown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functions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can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be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characterized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co-express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known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functions.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together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related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color w:val="FF0000"/>
          <w:sz w:val="20"/>
          <w:szCs w:val="20"/>
        </w:rPr>
        <w:t>[42-44]</w:t>
      </w:r>
      <w:r w:rsidR="004D5A38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have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used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two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independent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databases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identify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which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are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expressed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together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wild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type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i/>
          <w:color w:val="FF0000"/>
          <w:sz w:val="20"/>
          <w:szCs w:val="20"/>
        </w:rPr>
        <w:t>HTT</w:t>
      </w:r>
      <w:r w:rsidRPr="00A837B1">
        <w:rPr>
          <w:bCs/>
          <w:sz w:val="20"/>
          <w:szCs w:val="20"/>
        </w:rPr>
        <w:t>.</w:t>
      </w:r>
    </w:p>
    <w:p w:rsidR="0068594D" w:rsidRPr="00A837B1" w:rsidRDefault="0068594D" w:rsidP="00A837B1">
      <w:pPr>
        <w:spacing w:line="360" w:lineRule="auto"/>
        <w:jc w:val="both"/>
        <w:rPr>
          <w:b/>
          <w:bCs/>
          <w:sz w:val="20"/>
          <w:szCs w:val="20"/>
        </w:rPr>
      </w:pPr>
      <w:r w:rsidRPr="00A837B1">
        <w:rPr>
          <w:b/>
          <w:bCs/>
          <w:sz w:val="20"/>
          <w:szCs w:val="20"/>
        </w:rPr>
        <w:t>Co-</w:t>
      </w:r>
      <w:proofErr w:type="spellStart"/>
      <w:r w:rsidRPr="00A837B1">
        <w:rPr>
          <w:b/>
          <w:bCs/>
          <w:sz w:val="20"/>
          <w:szCs w:val="20"/>
        </w:rPr>
        <w:t>expressdb</w:t>
      </w:r>
      <w:proofErr w:type="spellEnd"/>
      <w:r w:rsidR="0065753B" w:rsidRPr="00A837B1">
        <w:rPr>
          <w:b/>
          <w:bCs/>
          <w:sz w:val="20"/>
          <w:szCs w:val="20"/>
        </w:rPr>
        <w:t xml:space="preserve"> </w:t>
      </w:r>
      <w:r w:rsidRPr="00A837B1">
        <w:rPr>
          <w:b/>
          <w:bCs/>
          <w:sz w:val="20"/>
          <w:szCs w:val="20"/>
        </w:rPr>
        <w:t>database</w:t>
      </w:r>
    </w:p>
    <w:p w:rsidR="0068594D" w:rsidRPr="00A837B1" w:rsidRDefault="0068594D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lastRenderedPageBreak/>
        <w:t>Searching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database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hyperlink r:id="rId10" w:history="1">
        <w:r w:rsidRPr="00A837B1">
          <w:rPr>
            <w:rStyle w:val="Hyperlink"/>
            <w:sz w:val="20"/>
            <w:szCs w:val="20"/>
          </w:rPr>
          <w:t>http://coxpresdb.jp</w:t>
        </w:r>
      </w:hyperlink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color w:val="FF0000"/>
          <w:sz w:val="20"/>
          <w:szCs w:val="20"/>
        </w:rPr>
        <w:t>[45]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proofErr w:type="spellStart"/>
      <w:r w:rsidRPr="00A837B1">
        <w:rPr>
          <w:sz w:val="20"/>
          <w:szCs w:val="20"/>
        </w:rPr>
        <w:t>Entrenz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3064)</w:t>
      </w:r>
      <w:r w:rsidR="0065753B" w:rsidRPr="00A837B1">
        <w:rPr>
          <w:sz w:val="20"/>
          <w:szCs w:val="20"/>
        </w:rPr>
        <w:t xml:space="preserve"> </w:t>
      </w:r>
      <w:r w:rsidR="0084590B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setting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limit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1000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loaded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April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9,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2013),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231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(excluding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samples.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CD60E1" w:rsidRPr="00A837B1">
        <w:rPr>
          <w:sz w:val="20"/>
          <w:szCs w:val="20"/>
        </w:rPr>
        <w:t>Mutual</w:t>
      </w:r>
      <w:r w:rsidR="0065753B" w:rsidRPr="00A837B1">
        <w:rPr>
          <w:sz w:val="20"/>
          <w:szCs w:val="20"/>
        </w:rPr>
        <w:t xml:space="preserve"> </w:t>
      </w:r>
      <w:r w:rsidR="00CD60E1" w:rsidRPr="00A837B1">
        <w:rPr>
          <w:sz w:val="20"/>
          <w:szCs w:val="20"/>
        </w:rPr>
        <w:t>Rank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(MR)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chosen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≤</w:t>
      </w:r>
      <w:r w:rsidRPr="00A837B1">
        <w:rPr>
          <w:sz w:val="20"/>
          <w:szCs w:val="20"/>
        </w:rPr>
        <w:t>1000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indicating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correlation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described</w:t>
      </w:r>
      <w:r w:rsidR="0065753B" w:rsidRPr="00A837B1">
        <w:rPr>
          <w:sz w:val="20"/>
          <w:szCs w:val="20"/>
        </w:rPr>
        <w:t xml:space="preserve"> </w:t>
      </w:r>
      <w:r w:rsidR="008B0EE3" w:rsidRPr="00A837B1">
        <w:rPr>
          <w:color w:val="FF0000"/>
          <w:sz w:val="20"/>
          <w:szCs w:val="20"/>
        </w:rPr>
        <w:fldChar w:fldCharType="begin"/>
      </w:r>
      <w:r w:rsidRPr="00A837B1">
        <w:rPr>
          <w:color w:val="FF0000"/>
          <w:sz w:val="20"/>
          <w:szCs w:val="20"/>
        </w:rPr>
        <w:instrText xml:space="preserve"> ADDIN EN.CITE &lt;EndNote&gt;&lt;Cite&gt;&lt;Author&gt;Obayashi&lt;/Author&gt;&lt;Year&gt;2010&lt;/Year&gt;&lt;RecNum&gt;66&lt;/RecNum&gt;&lt;record&gt;&lt;rec-number&gt;66&lt;/rec-number&gt;&lt;foreign-keys&gt;&lt;key app="EN" db-id="rwfwesx2nttp96ef9r55wwrz0d9attt9ffzt"&gt;66&lt;/key&gt;&lt;/foreign-keys&gt;&lt;ref-type name="Journal Article"&gt;17&lt;/ref-type&gt;&lt;contributors&gt;&lt;authors&gt;&lt;author&gt;Obayashi, T.&lt;/author&gt;&lt;author&gt;Kinoshita, K.&lt;/author&gt;&lt;/authors&gt;&lt;/contributors&gt;&lt;auth-address&gt;Graduate School of Information Science, Tohoku University, 6-3-09 Aramaki-Aza-Aoba, Aoba-ku, Sendai 980-8679, Japan. obayashi@ecei.tohoku.ac.jp&lt;/auth-address&gt;&lt;titles&gt;&lt;title&gt;Coexpression landscape in ATTED-II: usage of gene list and gene network for various types of pathways&lt;/title&gt;&lt;secondary-title&gt;J Plant Res&lt;/secondary-title&gt;&lt;/titles&gt;&lt;periodical&gt;&lt;full-title&gt;J Plant Res&lt;/full-title&gt;&lt;/periodical&gt;&lt;pages&gt;311-9&lt;/pages&gt;&lt;volume&gt;123&lt;/volume&gt;&lt;number&gt;3&lt;/number&gt;&lt;edition&gt;2010/04/13&lt;/edition&gt;&lt;keywords&gt;&lt;keyword&gt;*Databases, Genetic&lt;/keyword&gt;&lt;keyword&gt;*Gene Expression Regulation, Plant&lt;/keyword&gt;&lt;keyword&gt;Gene Regulatory Networks/*genetics&lt;/keyword&gt;&lt;keyword&gt;Genes, Plant/*genetics&lt;/keyword&gt;&lt;keyword&gt;Metabolic Networks and Pathways/*genetics&lt;/keyword&gt;&lt;keyword&gt;Plants/*genetics&lt;/keyword&gt;&lt;/keywords&gt;&lt;dates&gt;&lt;year&gt;2010&lt;/year&gt;&lt;pub-dates&gt;&lt;date&gt;May&lt;/date&gt;&lt;/pub-dates&gt;&lt;/dates&gt;&lt;isbn&gt;1618-0860 (Electronic)&amp;#xD;0918-9440 (Linking)&lt;/isbn&gt;&lt;accession-num&gt;20383554&lt;/accession-num&gt;&lt;urls&gt;&lt;related-urls&gt;&lt;url&gt;http://www.ncbi.nlm.nih.gov/entrez/query.fcgi?cmd=Retrieve&amp;amp;db=PubMed&amp;amp;dopt=Citation&amp;amp;list_uids=20383554&lt;/url&gt;&lt;/related-urls&gt;&lt;/urls&gt;&lt;electronic-resource-num&gt;10.1007/s10265-010-0333-6&lt;/electronic-resource-num&gt;&lt;language&gt;eng&lt;/language&gt;&lt;/record&gt;&lt;/Cite&gt;&lt;/EndNote&gt;</w:instrText>
      </w:r>
      <w:r w:rsidR="008B0EE3" w:rsidRPr="00A837B1">
        <w:rPr>
          <w:color w:val="FF0000"/>
          <w:sz w:val="20"/>
          <w:szCs w:val="20"/>
        </w:rPr>
        <w:fldChar w:fldCharType="separate"/>
      </w:r>
      <w:r w:rsidRPr="00A837B1">
        <w:rPr>
          <w:color w:val="FF0000"/>
          <w:sz w:val="20"/>
          <w:szCs w:val="20"/>
        </w:rPr>
        <w:t>[59]</w:t>
      </w:r>
      <w:r w:rsidR="008B0EE3" w:rsidRPr="00A837B1">
        <w:rPr>
          <w:color w:val="FF0000"/>
          <w:sz w:val="20"/>
          <w:szCs w:val="20"/>
        </w:rPr>
        <w:fldChar w:fldCharType="end"/>
      </w:r>
      <w:r w:rsidRPr="00A837B1">
        <w:rPr>
          <w:b/>
          <w:bCs/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MIR600HG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(miRNA-600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containing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WASH3P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(pseudo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further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removed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list.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229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(excluding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84590B"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="0084590B"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example,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CD60E1" w:rsidRPr="00A837B1">
        <w:rPr>
          <w:sz w:val="20"/>
          <w:szCs w:val="20"/>
        </w:rPr>
        <w:t>Adducin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(alpha)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ADD1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MR=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86.1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8.1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samples.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Similarly,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exportin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XPO6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mediator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complex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subunit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15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MED15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samples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four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organisms.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values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XPO6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267.6,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543.5,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675.2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984.8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Mcc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(monkey),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Mmu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(mouse),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Gga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(chicken)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Dre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(zebra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fish)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respectively.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values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MED15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346.6,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10.7,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559.4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526.4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Mcc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(monkey),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Mmu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(mouse),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Gga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(chicken)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Dre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(zebra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fish)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respectively.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together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113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including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samples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≤</w:t>
      </w:r>
      <w:r w:rsidRPr="00A837B1">
        <w:rPr>
          <w:sz w:val="20"/>
          <w:szCs w:val="20"/>
        </w:rPr>
        <w:t>1000)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117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samples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organism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(MR</w:t>
      </w:r>
      <w:r w:rsidRPr="00A837B1">
        <w:rPr>
          <w:color w:val="FF0000"/>
          <w:sz w:val="20"/>
          <w:szCs w:val="20"/>
        </w:rPr>
        <w:t>≤</w:t>
      </w:r>
      <w:r w:rsidRPr="00A837B1">
        <w:rPr>
          <w:sz w:val="20"/>
          <w:szCs w:val="20"/>
        </w:rPr>
        <w:t>1000).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together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their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chromosomal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location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S3</w:t>
      </w:r>
      <w:r w:rsidRPr="00A837B1">
        <w:rPr>
          <w:b/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mentioned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three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symbols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MLL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MLL2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MLL4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having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Entrenz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4297,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8085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9757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respectively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designated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myeloid/lymphoid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mixed-lineage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leukemia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proofErr w:type="spellStart"/>
      <w:r w:rsidRPr="00A837B1">
        <w:rPr>
          <w:sz w:val="20"/>
          <w:szCs w:val="20"/>
        </w:rPr>
        <w:t>trithorax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homolog,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Drosophila),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myeloid/lymphoid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mixed-lineage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leukemia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myeloid/lymphoid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mixed-lineage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leukemia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However,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searched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NCBI,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Entrenz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4297,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8085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9757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correspond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lysine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(K)-</w:t>
      </w:r>
      <w:r w:rsidR="00CD60E1"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CD60E1" w:rsidRPr="00A837B1">
        <w:rPr>
          <w:sz w:val="20"/>
          <w:szCs w:val="20"/>
        </w:rPr>
        <w:t>Methyltransferase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2A</w:t>
      </w:r>
      <w:r w:rsidR="0065753B" w:rsidRPr="00A837B1">
        <w:rPr>
          <w:sz w:val="20"/>
          <w:szCs w:val="20"/>
        </w:rPr>
        <w:t xml:space="preserve"> </w:t>
      </w:r>
      <w:r w:rsidR="00707246" w:rsidRPr="00A837B1">
        <w:rPr>
          <w:sz w:val="20"/>
          <w:szCs w:val="20"/>
        </w:rPr>
        <w:t>(</w:t>
      </w:r>
      <w:r w:rsidR="00707246" w:rsidRPr="00A837B1">
        <w:rPr>
          <w:i/>
          <w:color w:val="FF0000"/>
          <w:sz w:val="20"/>
          <w:szCs w:val="20"/>
        </w:rPr>
        <w:t>KMT2A)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lysine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(K)-specific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methyltransferase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2D</w:t>
      </w:r>
      <w:r w:rsidR="0065753B" w:rsidRPr="00A837B1">
        <w:rPr>
          <w:sz w:val="20"/>
          <w:szCs w:val="20"/>
        </w:rPr>
        <w:t xml:space="preserve"> </w:t>
      </w:r>
      <w:r w:rsidR="00707246" w:rsidRPr="00A837B1">
        <w:rPr>
          <w:sz w:val="20"/>
          <w:szCs w:val="20"/>
        </w:rPr>
        <w:t>(</w:t>
      </w:r>
      <w:r w:rsidR="00707246" w:rsidRPr="00A837B1">
        <w:rPr>
          <w:i/>
          <w:color w:val="FF0000"/>
          <w:sz w:val="20"/>
          <w:szCs w:val="20"/>
        </w:rPr>
        <w:t>KMT2D</w:t>
      </w:r>
      <w:r w:rsidR="00707246"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lysine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(K)-</w:t>
      </w:r>
      <w:r w:rsidR="00CD60E1"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CD60E1" w:rsidRPr="00A837B1">
        <w:rPr>
          <w:sz w:val="20"/>
          <w:szCs w:val="20"/>
        </w:rPr>
        <w:t>Methyltransferase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2B</w:t>
      </w:r>
      <w:r w:rsidR="0065753B" w:rsidRPr="00A837B1">
        <w:rPr>
          <w:sz w:val="20"/>
          <w:szCs w:val="20"/>
        </w:rPr>
        <w:t xml:space="preserve"> </w:t>
      </w:r>
      <w:r w:rsidR="00707246" w:rsidRPr="00A837B1">
        <w:rPr>
          <w:sz w:val="20"/>
          <w:szCs w:val="20"/>
        </w:rPr>
        <w:t>(</w:t>
      </w:r>
      <w:r w:rsidR="00707246" w:rsidRPr="00A837B1">
        <w:rPr>
          <w:i/>
          <w:color w:val="FF0000"/>
          <w:sz w:val="20"/>
          <w:szCs w:val="20"/>
        </w:rPr>
        <w:t>KMT2B</w:t>
      </w:r>
      <w:r w:rsidR="00707246"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respectively.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replaced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new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symbols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corresponds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</w:t>
      </w:r>
      <w:r w:rsidR="00707246" w:rsidRPr="00A837B1">
        <w:rPr>
          <w:sz w:val="20"/>
          <w:szCs w:val="20"/>
        </w:rPr>
        <w:t>s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</w:p>
    <w:p w:rsidR="0068594D" w:rsidRPr="00A837B1" w:rsidRDefault="0068594D" w:rsidP="00A837B1">
      <w:pPr>
        <w:spacing w:line="360" w:lineRule="auto"/>
        <w:jc w:val="both"/>
        <w:rPr>
          <w:b/>
          <w:bCs/>
          <w:sz w:val="20"/>
          <w:szCs w:val="20"/>
        </w:rPr>
      </w:pPr>
      <w:proofErr w:type="spellStart"/>
      <w:r w:rsidRPr="00A837B1">
        <w:rPr>
          <w:b/>
          <w:bCs/>
          <w:sz w:val="20"/>
          <w:szCs w:val="20"/>
        </w:rPr>
        <w:t>GeneFriends</w:t>
      </w:r>
      <w:proofErr w:type="spellEnd"/>
      <w:r w:rsidR="0065753B" w:rsidRPr="00A837B1">
        <w:rPr>
          <w:b/>
          <w:bCs/>
          <w:sz w:val="20"/>
          <w:szCs w:val="20"/>
        </w:rPr>
        <w:t xml:space="preserve"> </w:t>
      </w:r>
      <w:r w:rsidRPr="00A837B1">
        <w:rPr>
          <w:b/>
          <w:bCs/>
          <w:sz w:val="20"/>
          <w:szCs w:val="20"/>
        </w:rPr>
        <w:t>database</w:t>
      </w:r>
    </w:p>
    <w:p w:rsidR="0068594D" w:rsidRPr="00A837B1" w:rsidRDefault="0068594D" w:rsidP="00A837B1">
      <w:pPr>
        <w:spacing w:line="360" w:lineRule="auto"/>
        <w:jc w:val="both"/>
        <w:rPr>
          <w:bCs/>
          <w:sz w:val="20"/>
          <w:szCs w:val="20"/>
        </w:rPr>
      </w:pPr>
      <w:r w:rsidRPr="00A837B1">
        <w:rPr>
          <w:bCs/>
          <w:sz w:val="20"/>
          <w:szCs w:val="20"/>
        </w:rPr>
        <w:t>We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have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used</w:t>
      </w:r>
      <w:r w:rsidR="0065753B" w:rsidRPr="00A837B1">
        <w:rPr>
          <w:bCs/>
          <w:sz w:val="20"/>
          <w:szCs w:val="20"/>
        </w:rPr>
        <w:t xml:space="preserve"> </w:t>
      </w:r>
      <w:proofErr w:type="spellStart"/>
      <w:r w:rsidRPr="00A837B1">
        <w:rPr>
          <w:bCs/>
          <w:sz w:val="20"/>
          <w:szCs w:val="20"/>
        </w:rPr>
        <w:t>GeneFriends</w:t>
      </w:r>
      <w:proofErr w:type="spellEnd"/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database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(</w:t>
      </w:r>
      <w:hyperlink r:id="rId11" w:history="1">
        <w:r w:rsidR="004D5A38" w:rsidRPr="00A837B1">
          <w:rPr>
            <w:rStyle w:val="Hyperlink"/>
            <w:bCs/>
            <w:sz w:val="20"/>
            <w:szCs w:val="20"/>
          </w:rPr>
          <w:t>http://www.GeneFriends.org</w:t>
        </w:r>
      </w:hyperlink>
      <w:r w:rsidRPr="00A837B1">
        <w:rPr>
          <w:bCs/>
          <w:sz w:val="20"/>
          <w:szCs w:val="20"/>
        </w:rPr>
        <w:t>),</w:t>
      </w:r>
      <w:r w:rsidR="0065753B" w:rsidRPr="00A837B1">
        <w:rPr>
          <w:bCs/>
          <w:sz w:val="20"/>
          <w:szCs w:val="20"/>
        </w:rPr>
        <w:t xml:space="preserve"> </w:t>
      </w:r>
      <w:r w:rsidR="004D5A38" w:rsidRPr="00A837B1">
        <w:rPr>
          <w:bCs/>
          <w:color w:val="FF0000"/>
          <w:sz w:val="20"/>
          <w:szCs w:val="20"/>
        </w:rPr>
        <w:t>[47]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online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resource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identify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co-expressed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="00707246" w:rsidRPr="00A837B1">
        <w:rPr>
          <w:bCs/>
          <w:sz w:val="20"/>
          <w:szCs w:val="20"/>
        </w:rPr>
        <w:t>wild</w:t>
      </w:r>
      <w:r w:rsidR="0065753B" w:rsidRPr="00A837B1">
        <w:rPr>
          <w:bCs/>
          <w:sz w:val="20"/>
          <w:szCs w:val="20"/>
        </w:rPr>
        <w:t xml:space="preserve"> </w:t>
      </w:r>
      <w:r w:rsidR="00707246" w:rsidRPr="00A837B1">
        <w:rPr>
          <w:bCs/>
          <w:sz w:val="20"/>
          <w:szCs w:val="20"/>
        </w:rPr>
        <w:t>type</w:t>
      </w:r>
      <w:r w:rsidR="0065753B" w:rsidRPr="00A837B1">
        <w:rPr>
          <w:bCs/>
          <w:sz w:val="20"/>
          <w:szCs w:val="20"/>
        </w:rPr>
        <w:t xml:space="preserve"> </w:t>
      </w:r>
      <w:r w:rsidR="00082AE8" w:rsidRPr="00A837B1">
        <w:rPr>
          <w:bCs/>
          <w:i/>
          <w:color w:val="FF0000"/>
          <w:sz w:val="20"/>
          <w:szCs w:val="20"/>
        </w:rPr>
        <w:t>HTT</w:t>
      </w:r>
      <w:r w:rsidRPr="00A837B1">
        <w:rPr>
          <w:bCs/>
          <w:sz w:val="20"/>
          <w:szCs w:val="20"/>
        </w:rPr>
        <w:t>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this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database,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RNA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sequencing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data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for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expression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has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been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used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provides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co-expressed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protein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coding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genes,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non-coding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including</w:t>
      </w:r>
      <w:r w:rsidR="0065753B" w:rsidRPr="00A837B1">
        <w:rPr>
          <w:bCs/>
          <w:sz w:val="20"/>
          <w:szCs w:val="20"/>
        </w:rPr>
        <w:t xml:space="preserve"> </w:t>
      </w:r>
      <w:proofErr w:type="spellStart"/>
      <w:r w:rsidRPr="00A837B1">
        <w:rPr>
          <w:bCs/>
          <w:sz w:val="20"/>
          <w:szCs w:val="20"/>
        </w:rPr>
        <w:t>microRNA</w:t>
      </w:r>
      <w:proofErr w:type="spellEnd"/>
      <w:r w:rsidRPr="00A837B1">
        <w:rPr>
          <w:bCs/>
          <w:sz w:val="20"/>
          <w:szCs w:val="20"/>
        </w:rPr>
        <w:t>,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anti-sense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RNA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and</w:t>
      </w:r>
      <w:r w:rsidR="0065753B" w:rsidRPr="00A837B1">
        <w:rPr>
          <w:bCs/>
          <w:sz w:val="20"/>
          <w:szCs w:val="20"/>
        </w:rPr>
        <w:t xml:space="preserve"> </w:t>
      </w:r>
      <w:proofErr w:type="spellStart"/>
      <w:r w:rsidRPr="00A837B1">
        <w:rPr>
          <w:bCs/>
          <w:sz w:val="20"/>
          <w:szCs w:val="20"/>
        </w:rPr>
        <w:t>pseudogenes</w:t>
      </w:r>
      <w:proofErr w:type="spellEnd"/>
      <w:r w:rsidRPr="00A837B1">
        <w:rPr>
          <w:bCs/>
          <w:sz w:val="20"/>
          <w:szCs w:val="20"/>
        </w:rPr>
        <w:t>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Positive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correlation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well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negative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correlation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with</w:t>
      </w:r>
      <w:r w:rsidR="0065753B" w:rsidRPr="00A837B1">
        <w:rPr>
          <w:bCs/>
          <w:sz w:val="20"/>
          <w:szCs w:val="20"/>
        </w:rPr>
        <w:t xml:space="preserve"> </w:t>
      </w:r>
      <w:r w:rsidR="00082AE8" w:rsidRPr="00A837B1">
        <w:rPr>
          <w:bCs/>
          <w:i/>
          <w:color w:val="FF0000"/>
          <w:sz w:val="20"/>
          <w:szCs w:val="20"/>
        </w:rPr>
        <w:t>HTT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provided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output.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have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omitted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non-coding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only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positively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correlated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(correlation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co-efficient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color w:val="FF0000"/>
          <w:sz w:val="20"/>
          <w:szCs w:val="20"/>
        </w:rPr>
        <w:t>≥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+0.445)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were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collected.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There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are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221</w:t>
      </w:r>
      <w:r w:rsidR="0065753B" w:rsidRPr="00A837B1">
        <w:rPr>
          <w:bCs/>
          <w:sz w:val="20"/>
          <w:szCs w:val="20"/>
        </w:rPr>
        <w:t xml:space="preserve"> </w:t>
      </w:r>
      <w:r w:rsidR="00082AE8" w:rsidRPr="00A837B1">
        <w:rPr>
          <w:bCs/>
          <w:i/>
          <w:color w:val="FF0000"/>
          <w:sz w:val="20"/>
          <w:szCs w:val="20"/>
        </w:rPr>
        <w:t>HTT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co-expressed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genes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and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shown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color w:val="FF0000"/>
          <w:sz w:val="20"/>
          <w:szCs w:val="20"/>
        </w:rPr>
        <w:t>Supplementary</w:t>
      </w:r>
      <w:r w:rsidR="0065753B" w:rsidRPr="00A837B1">
        <w:rPr>
          <w:bCs/>
          <w:color w:val="FF0000"/>
          <w:sz w:val="20"/>
          <w:szCs w:val="20"/>
        </w:rPr>
        <w:t xml:space="preserve"> </w:t>
      </w:r>
      <w:r w:rsidRPr="00A837B1">
        <w:rPr>
          <w:bCs/>
          <w:color w:val="FF0000"/>
          <w:sz w:val="20"/>
          <w:szCs w:val="20"/>
        </w:rPr>
        <w:t>Table</w:t>
      </w:r>
      <w:r w:rsidR="0065753B" w:rsidRPr="00A837B1">
        <w:rPr>
          <w:bCs/>
          <w:color w:val="FF0000"/>
          <w:sz w:val="20"/>
          <w:szCs w:val="20"/>
        </w:rPr>
        <w:t xml:space="preserve"> </w:t>
      </w:r>
      <w:r w:rsidRPr="00A837B1">
        <w:rPr>
          <w:bCs/>
          <w:color w:val="FF0000"/>
          <w:sz w:val="20"/>
          <w:szCs w:val="20"/>
        </w:rPr>
        <w:t>S4</w:t>
      </w:r>
      <w:r w:rsidRPr="00A837B1">
        <w:rPr>
          <w:bCs/>
          <w:sz w:val="20"/>
          <w:szCs w:val="20"/>
        </w:rPr>
        <w:t>.</w:t>
      </w:r>
    </w:p>
    <w:p w:rsidR="002F26FC" w:rsidRPr="00A837B1" w:rsidRDefault="002F26FC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="009A0D31" w:rsidRPr="00A837B1">
        <w:rPr>
          <w:b/>
          <w:sz w:val="20"/>
          <w:szCs w:val="20"/>
        </w:rPr>
        <w:t>T</w:t>
      </w:r>
      <w:r w:rsidRPr="00A837B1">
        <w:rPr>
          <w:b/>
          <w:sz w:val="20"/>
          <w:szCs w:val="20"/>
        </w:rPr>
        <w:t>5: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modifiers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9A0D31" w:rsidRPr="00A837B1">
        <w:rPr>
          <w:sz w:val="20"/>
          <w:szCs w:val="20"/>
        </w:rPr>
        <w:t>age</w:t>
      </w:r>
      <w:r w:rsidR="0065753B" w:rsidRPr="00A837B1">
        <w:rPr>
          <w:sz w:val="20"/>
          <w:szCs w:val="20"/>
        </w:rPr>
        <w:t xml:space="preserve"> </w:t>
      </w:r>
      <w:r w:rsidR="009A0D31"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onset</w:t>
      </w:r>
      <w:r w:rsidR="0065753B" w:rsidRPr="00A837B1">
        <w:rPr>
          <w:sz w:val="20"/>
          <w:szCs w:val="20"/>
        </w:rPr>
        <w:t xml:space="preserve"> </w:t>
      </w:r>
      <w:r w:rsidR="004D5A38" w:rsidRPr="00A837B1">
        <w:rPr>
          <w:sz w:val="20"/>
          <w:szCs w:val="20"/>
        </w:rPr>
        <w:t>(AAO)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CD60E1" w:rsidRPr="00A837B1">
        <w:rPr>
          <w:sz w:val="20"/>
          <w:szCs w:val="20"/>
        </w:rPr>
        <w:t>.</w:t>
      </w:r>
    </w:p>
    <w:p w:rsidR="002D7F9C" w:rsidRPr="00A837B1" w:rsidRDefault="002D7F9C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="00CD60E1" w:rsidRPr="00A837B1">
        <w:rPr>
          <w:sz w:val="20"/>
          <w:szCs w:val="20"/>
        </w:rPr>
        <w:t>Onset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(AAO),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defined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time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appearance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first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symptom(s)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defects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cognitive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impairment,</w:t>
      </w:r>
      <w:r w:rsidR="0065753B" w:rsidRPr="00A837B1">
        <w:rPr>
          <w:sz w:val="20"/>
          <w:szCs w:val="20"/>
        </w:rPr>
        <w:t xml:space="preserve"> </w:t>
      </w:r>
      <w:r w:rsidR="00F43BD3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F43BD3"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inversely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correlate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number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repeats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expanded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Investigations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large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number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adult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onset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reveal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expanded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repeat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number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explains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approximately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56%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signs</w:t>
      </w:r>
      <w:r w:rsidR="00F43BD3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However,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repeat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number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did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explain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B62961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psychiatric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phenotypes.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Evidences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available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show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modifiers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[49</w:t>
      </w:r>
      <w:proofErr w:type="gramStart"/>
      <w:r w:rsidR="002910D2" w:rsidRPr="00A837B1">
        <w:rPr>
          <w:color w:val="FF0000"/>
          <w:sz w:val="20"/>
          <w:szCs w:val="20"/>
        </w:rPr>
        <w:t>,50</w:t>
      </w:r>
      <w:proofErr w:type="gramEnd"/>
      <w:r w:rsidR="002910D2" w:rsidRPr="00A837B1">
        <w:rPr>
          <w:color w:val="FF0000"/>
          <w:sz w:val="20"/>
          <w:szCs w:val="20"/>
        </w:rPr>
        <w:t>]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modifiable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non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modifiers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[STR6-STR9]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alter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early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studies,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candidate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Polymorphic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TAA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3’-UTR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GRIK2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CNR1/CB1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PPARGC1A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HAP1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GRIN2A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GRIN2B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bCs/>
          <w:i/>
          <w:color w:val="FF0000"/>
          <w:kern w:val="36"/>
          <w:sz w:val="20"/>
          <w:szCs w:val="20"/>
        </w:rPr>
        <w:t>ATG7</w:t>
      </w:r>
      <w:r w:rsidR="002910D2" w:rsidRPr="00A837B1">
        <w:rPr>
          <w:bCs/>
          <w:kern w:val="36"/>
          <w:sz w:val="20"/>
          <w:szCs w:val="20"/>
        </w:rPr>
        <w:t>,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ADORA2A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OGG1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TFAM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APOE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CA150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</w:t>
      </w:r>
      <w:r w:rsidR="00082AE8" w:rsidRPr="00A837B1">
        <w:rPr>
          <w:i/>
          <w:color w:val="FF0000"/>
          <w:sz w:val="20"/>
          <w:szCs w:val="20"/>
        </w:rPr>
        <w:t>TCERG1</w:t>
      </w:r>
      <w:r w:rsidR="002910D2" w:rsidRPr="00A837B1">
        <w:rPr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BDNF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UCHL1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TP53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082AE8" w:rsidRPr="00A837B1">
        <w:rPr>
          <w:i/>
          <w:color w:val="FF0000"/>
          <w:sz w:val="20"/>
          <w:szCs w:val="20"/>
        </w:rPr>
        <w:t>DFFB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[</w:t>
      </w:r>
      <w:r w:rsidR="002910D2" w:rsidRPr="00A837B1">
        <w:rPr>
          <w:color w:val="FF0000"/>
          <w:sz w:val="20"/>
          <w:szCs w:val="20"/>
        </w:rPr>
        <w:t>STR10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references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in].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However,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most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results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replicated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independent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study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originated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backgrounds.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Besides,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association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not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many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cases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lastRenderedPageBreak/>
        <w:t>when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sample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size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sufficient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statistical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power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statistical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corrections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multiple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testing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taken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account.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Non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replication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association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could,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principle,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due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background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patients.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recent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time,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unbiased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searches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made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loci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age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onset.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Family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based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linkage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study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identifies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chromosomal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regions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may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alter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regions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include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2p25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score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4.29),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2q35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(LOD=3.39),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6q22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(LOD=2.48),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5p14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(LOD=3.31)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5q32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(LOD=3.14).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regions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harbor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hundreds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[STR11]</w:t>
      </w:r>
      <w:r w:rsidR="002910D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loci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6q23-24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[STR12]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4p16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[STR13</w:t>
      </w:r>
      <w:proofErr w:type="gramStart"/>
      <w:r w:rsidR="002910D2" w:rsidRPr="00A837B1">
        <w:rPr>
          <w:color w:val="FF0000"/>
          <w:sz w:val="20"/>
          <w:szCs w:val="20"/>
        </w:rPr>
        <w:t>,STR14</w:t>
      </w:r>
      <w:proofErr w:type="gramEnd"/>
      <w:r w:rsidR="002910D2" w:rsidRPr="00A837B1">
        <w:rPr>
          <w:color w:val="FF0000"/>
          <w:sz w:val="20"/>
          <w:szCs w:val="20"/>
        </w:rPr>
        <w:t>]</w:t>
      </w:r>
      <w:r w:rsidR="002910D2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6q21-23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(LOD=2.29),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6q24-26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(LOD=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2.28)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[STR14]</w:t>
      </w:r>
      <w:r w:rsidR="002910D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Although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repeat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normal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CCG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repeats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flanking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repeats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marker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AAO,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2910D2" w:rsidRPr="00A837B1">
        <w:rPr>
          <w:sz w:val="20"/>
          <w:szCs w:val="20"/>
        </w:rPr>
        <w:t>haplotype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analysis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markers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4p16.3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argue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against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involvement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[STR15]</w:t>
      </w:r>
      <w:r w:rsidR="002910D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However,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recent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study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2910D2" w:rsidRPr="00A837B1">
        <w:rPr>
          <w:sz w:val="20"/>
          <w:szCs w:val="20"/>
        </w:rPr>
        <w:t>haplotype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4p16.3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addition,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authors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involvement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polymorphisms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monoamine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oxidase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</w:t>
      </w:r>
      <w:r w:rsidR="002910D2" w:rsidRPr="00A837B1">
        <w:rPr>
          <w:i/>
          <w:color w:val="FF0000"/>
          <w:sz w:val="20"/>
          <w:szCs w:val="20"/>
        </w:rPr>
        <w:t>MAOA</w:t>
      </w:r>
      <w:r w:rsidR="002910D2"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2910D2" w:rsidRPr="00A837B1">
        <w:rPr>
          <w:sz w:val="20"/>
          <w:szCs w:val="20"/>
        </w:rPr>
        <w:t>catechol</w:t>
      </w:r>
      <w:proofErr w:type="spellEnd"/>
      <w:r w:rsidR="002910D2" w:rsidRPr="00A837B1">
        <w:rPr>
          <w:sz w:val="20"/>
          <w:szCs w:val="20"/>
        </w:rPr>
        <w:t>-O-</w:t>
      </w:r>
      <w:proofErr w:type="spellStart"/>
      <w:r w:rsidR="002910D2" w:rsidRPr="00A837B1">
        <w:rPr>
          <w:sz w:val="20"/>
          <w:szCs w:val="20"/>
        </w:rPr>
        <w:t>methyltransferase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(</w:t>
      </w:r>
      <w:r w:rsidR="002910D2" w:rsidRPr="00A837B1">
        <w:rPr>
          <w:i/>
          <w:color w:val="FF0000"/>
          <w:sz w:val="20"/>
          <w:szCs w:val="20"/>
        </w:rPr>
        <w:t>COMT</w:t>
      </w:r>
      <w:r w:rsidR="002910D2"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modified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cognitive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impairment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psychiatric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symptoms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[STR16]</w:t>
      </w:r>
      <w:r w:rsidR="002910D2" w:rsidRPr="00A837B1">
        <w:rPr>
          <w:sz w:val="20"/>
          <w:szCs w:val="20"/>
        </w:rPr>
        <w:t>.</w:t>
      </w:r>
      <w:r w:rsidR="0065753B" w:rsidRPr="00A837B1">
        <w:rPr>
          <w:b/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Engineered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knock-in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mouse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model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HD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harboring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human</w:t>
      </w:r>
      <w:r w:rsidR="0065753B" w:rsidRPr="00A837B1">
        <w:rPr>
          <w:bCs/>
          <w:sz w:val="20"/>
          <w:szCs w:val="20"/>
        </w:rPr>
        <w:t xml:space="preserve"> </w:t>
      </w:r>
      <w:proofErr w:type="spellStart"/>
      <w:r w:rsidR="002910D2" w:rsidRPr="00A837B1">
        <w:rPr>
          <w:bCs/>
          <w:sz w:val="20"/>
          <w:szCs w:val="20"/>
        </w:rPr>
        <w:t>synteny</w:t>
      </w:r>
      <w:proofErr w:type="spellEnd"/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region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human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6q23-26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was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used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to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evaluate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the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role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this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linked</w:t>
      </w:r>
      <w:r w:rsidR="0065753B" w:rsidRPr="00A837B1">
        <w:rPr>
          <w:bCs/>
          <w:sz w:val="20"/>
          <w:szCs w:val="20"/>
        </w:rPr>
        <w:t xml:space="preserve"> </w:t>
      </w:r>
      <w:r w:rsidR="002910D2" w:rsidRPr="00A837B1">
        <w:rPr>
          <w:bCs/>
          <w:sz w:val="20"/>
          <w:szCs w:val="20"/>
        </w:rPr>
        <w:t>region</w:t>
      </w:r>
      <w:r w:rsidR="0065753B" w:rsidRPr="00A837B1">
        <w:rPr>
          <w:b/>
          <w:bCs/>
          <w:sz w:val="20"/>
          <w:szCs w:val="20"/>
        </w:rPr>
        <w:t xml:space="preserve"> </w:t>
      </w:r>
      <w:r w:rsidR="002910D2" w:rsidRPr="00A837B1">
        <w:rPr>
          <w:b/>
          <w:bCs/>
          <w:color w:val="FF0000"/>
          <w:sz w:val="20"/>
          <w:szCs w:val="20"/>
        </w:rPr>
        <w:t>[</w:t>
      </w:r>
      <w:r w:rsidR="002910D2" w:rsidRPr="00A837B1">
        <w:rPr>
          <w:bCs/>
          <w:color w:val="FF0000"/>
          <w:sz w:val="20"/>
          <w:szCs w:val="20"/>
        </w:rPr>
        <w:t>STR11</w:t>
      </w:r>
      <w:proofErr w:type="gramStart"/>
      <w:r w:rsidR="002910D2" w:rsidRPr="00A837B1">
        <w:rPr>
          <w:bCs/>
          <w:color w:val="FF0000"/>
          <w:sz w:val="20"/>
          <w:szCs w:val="20"/>
        </w:rPr>
        <w:t>,STR12</w:t>
      </w:r>
      <w:proofErr w:type="gramEnd"/>
      <w:r w:rsidR="002910D2" w:rsidRPr="00A837B1">
        <w:rPr>
          <w:b/>
          <w:bCs/>
          <w:color w:val="FF0000"/>
          <w:sz w:val="20"/>
          <w:szCs w:val="20"/>
        </w:rPr>
        <w:t>]</w:t>
      </w:r>
      <w:r w:rsidR="0065753B" w:rsidRPr="00A837B1">
        <w:rPr>
          <w:b/>
          <w:bCs/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modulation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Body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weight,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CAG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instability,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level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DARPP-32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aggregates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modified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transgenic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[STR</w:t>
      </w:r>
      <w:r w:rsidR="0065753B" w:rsidRPr="00A837B1">
        <w:rPr>
          <w:color w:val="FF0000"/>
          <w:sz w:val="20"/>
          <w:szCs w:val="20"/>
        </w:rPr>
        <w:t xml:space="preserve"> </w:t>
      </w:r>
      <w:r w:rsidR="002910D2" w:rsidRPr="00A837B1">
        <w:rPr>
          <w:color w:val="FF0000"/>
          <w:sz w:val="20"/>
          <w:szCs w:val="20"/>
        </w:rPr>
        <w:t>17]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indicating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possible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genetically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linked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region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2910D2" w:rsidRPr="00A837B1">
        <w:rPr>
          <w:sz w:val="20"/>
          <w:szCs w:val="20"/>
        </w:rPr>
        <w:t>AAO.</w:t>
      </w:r>
    </w:p>
    <w:p w:rsidR="003626EE" w:rsidRPr="00A837B1" w:rsidRDefault="002D7F9C" w:rsidP="00A837B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influence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</w:t>
      </w:r>
      <w:r w:rsidRPr="00A837B1">
        <w:rPr>
          <w:bCs/>
          <w:kern w:val="36"/>
          <w:sz w:val="20"/>
          <w:szCs w:val="20"/>
        </w:rPr>
        <w:t>romoter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bCs/>
          <w:kern w:val="36"/>
          <w:sz w:val="20"/>
          <w:szCs w:val="20"/>
        </w:rPr>
        <w:t>variation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bCs/>
          <w:kern w:val="36"/>
          <w:sz w:val="20"/>
          <w:szCs w:val="20"/>
        </w:rPr>
        <w:t>in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="00CD60E1" w:rsidRPr="00A837B1">
        <w:rPr>
          <w:bCs/>
          <w:kern w:val="36"/>
          <w:sz w:val="20"/>
          <w:szCs w:val="20"/>
        </w:rPr>
        <w:t>Neuropeptide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bCs/>
          <w:kern w:val="36"/>
          <w:sz w:val="20"/>
          <w:szCs w:val="20"/>
        </w:rPr>
        <w:t>Y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bCs/>
          <w:kern w:val="36"/>
          <w:sz w:val="20"/>
          <w:szCs w:val="20"/>
        </w:rPr>
        <w:t>(NPY)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bCs/>
          <w:kern w:val="36"/>
          <w:sz w:val="20"/>
          <w:szCs w:val="20"/>
        </w:rPr>
        <w:t>receptor</w:t>
      </w:r>
      <w:r w:rsidR="0065753B" w:rsidRPr="00A837B1">
        <w:rPr>
          <w:bCs/>
          <w:kern w:val="36"/>
          <w:sz w:val="20"/>
          <w:szCs w:val="20"/>
        </w:rPr>
        <w:t xml:space="preserve"> </w:t>
      </w:r>
      <w:r w:rsidRPr="00A837B1">
        <w:rPr>
          <w:sz w:val="20"/>
          <w:szCs w:val="20"/>
        </w:rPr>
        <w:t>NPY2R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luciferase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reporter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assay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detection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influence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</w:t>
      </w:r>
      <w:r w:rsidR="00BB41FA" w:rsidRPr="00A837B1">
        <w:rPr>
          <w:sz w:val="20"/>
          <w:szCs w:val="20"/>
        </w:rPr>
        <w:t>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(single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nucleotide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polymorphic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marker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rs2234759)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reveals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NPY2R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vitro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delayed</w:t>
      </w:r>
      <w:r w:rsidR="0065753B" w:rsidRPr="00A837B1">
        <w:rPr>
          <w:sz w:val="20"/>
          <w:szCs w:val="20"/>
        </w:rPr>
        <w:t xml:space="preserve"> </w:t>
      </w:r>
      <w:r w:rsidR="008E2FF3" w:rsidRPr="00A837B1">
        <w:rPr>
          <w:sz w:val="20"/>
          <w:szCs w:val="20"/>
        </w:rPr>
        <w:t>AAO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NPY2R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delay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manifestation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symptoms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provides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protection.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cultured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provided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involvement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NPY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agonist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NPY2R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apoptotic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death</w:t>
      </w:r>
      <w:r w:rsidR="0065753B" w:rsidRPr="00A837B1">
        <w:rPr>
          <w:sz w:val="20"/>
          <w:szCs w:val="20"/>
        </w:rPr>
        <w:t xml:space="preserve"> </w:t>
      </w:r>
      <w:r w:rsidR="00FA1C7E" w:rsidRPr="00A837B1">
        <w:rPr>
          <w:color w:val="FF0000"/>
          <w:sz w:val="20"/>
          <w:szCs w:val="20"/>
        </w:rPr>
        <w:t>[92]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Similarly,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polymorphic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(rs13102260,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G/A)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putative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(-139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position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transcription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start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site)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localized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transcription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factor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Prevalence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minor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="00BB41FA" w:rsidRPr="00A837B1">
        <w:rPr>
          <w:sz w:val="20"/>
          <w:szCs w:val="20"/>
        </w:rPr>
        <w:t>“</w:t>
      </w:r>
      <w:r w:rsidRPr="00A837B1">
        <w:rPr>
          <w:sz w:val="20"/>
          <w:szCs w:val="20"/>
        </w:rPr>
        <w:t>A</w:t>
      </w:r>
      <w:r w:rsidR="00BB41FA" w:rsidRPr="00A837B1">
        <w:rPr>
          <w:sz w:val="20"/>
          <w:szCs w:val="20"/>
        </w:rPr>
        <w:t>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frequency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0.042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Caucasian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European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0.411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African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Yorban</w:t>
      </w:r>
      <w:proofErr w:type="spellEnd"/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in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vivo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in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vitro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activates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recruitment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significantly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higher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striatum,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affected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tissue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compared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tissues.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remains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unknown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NF-</w:t>
      </w:r>
      <w:proofErr w:type="spellStart"/>
      <w:r w:rsidRPr="00A837B1">
        <w:rPr>
          <w:i/>
          <w:color w:val="FF0000"/>
          <w:sz w:val="20"/>
          <w:szCs w:val="20"/>
        </w:rPr>
        <w:t>ƙB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regions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brain.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However,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indicates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regulation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relevant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activation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dependent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DNA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sequence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containing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“A”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="008E2FF3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NF-</w:t>
      </w:r>
      <w:proofErr w:type="spellStart"/>
      <w:r w:rsidRPr="00A837B1">
        <w:rPr>
          <w:color w:val="FF0000"/>
          <w:sz w:val="20"/>
          <w:szCs w:val="20"/>
        </w:rPr>
        <w:t>ƙ</w:t>
      </w:r>
      <w:r w:rsidRPr="00A837B1">
        <w:rPr>
          <w:sz w:val="20"/>
          <w:szCs w:val="20"/>
        </w:rPr>
        <w:t>B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cohort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linked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="008E2FF3" w:rsidRPr="00A837B1">
        <w:rPr>
          <w:i/>
          <w:color w:val="FF0000"/>
          <w:sz w:val="20"/>
          <w:szCs w:val="20"/>
        </w:rPr>
        <w:t>HTT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linked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delayed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="00FA1C7E" w:rsidRPr="00A837B1">
        <w:rPr>
          <w:color w:val="FF0000"/>
          <w:sz w:val="20"/>
          <w:szCs w:val="20"/>
        </w:rPr>
        <w:t>[51]</w:t>
      </w:r>
      <w:r w:rsidR="00FA1C7E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This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result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indicates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that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reduction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wild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type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i/>
          <w:color w:val="FF0000"/>
          <w:sz w:val="20"/>
          <w:szCs w:val="20"/>
        </w:rPr>
        <w:t>HTT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enhances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pathogenesis,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while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reduction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mutant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i/>
          <w:color w:val="FF0000"/>
          <w:sz w:val="20"/>
          <w:szCs w:val="20"/>
        </w:rPr>
        <w:t>HTT</w:t>
      </w:r>
      <w:r w:rsidR="0065753B" w:rsidRPr="00A837B1">
        <w:rPr>
          <w:bCs/>
          <w:i/>
          <w:color w:val="FF0000"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provides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protection.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Exogenous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over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expression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wild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type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i/>
          <w:color w:val="FF0000"/>
          <w:sz w:val="20"/>
          <w:szCs w:val="20"/>
        </w:rPr>
        <w:t>HTT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has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been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shown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protect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mutant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HTT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induced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toxicity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in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various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models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of</w:t>
      </w:r>
      <w:r w:rsidR="0065753B" w:rsidRPr="00A837B1">
        <w:rPr>
          <w:bCs/>
          <w:sz w:val="20"/>
          <w:szCs w:val="20"/>
        </w:rPr>
        <w:t xml:space="preserve"> </w:t>
      </w:r>
      <w:r w:rsidRPr="00A837B1">
        <w:rPr>
          <w:bCs/>
          <w:sz w:val="20"/>
          <w:szCs w:val="20"/>
        </w:rPr>
        <w:t>HD</w:t>
      </w:r>
      <w:r w:rsidR="00DC10BB" w:rsidRPr="00A837B1">
        <w:rPr>
          <w:bCs/>
          <w:sz w:val="20"/>
          <w:szCs w:val="20"/>
        </w:rPr>
        <w:t>.</w:t>
      </w:r>
      <w:r w:rsidR="0065753B" w:rsidRPr="00A837B1">
        <w:rPr>
          <w:bCs/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HD,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exogenous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protects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HTT.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Reduction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i/>
          <w:color w:val="FF0000"/>
          <w:sz w:val="20"/>
          <w:szCs w:val="20"/>
        </w:rPr>
        <w:lastRenderedPageBreak/>
        <w:t>HTT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enhanced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i/>
          <w:color w:val="FF0000"/>
          <w:sz w:val="20"/>
          <w:szCs w:val="20"/>
        </w:rPr>
        <w:t>HTT</w:t>
      </w:r>
      <w:r w:rsidR="00DC10BB" w:rsidRPr="00A837B1">
        <w:rPr>
          <w:i/>
          <w:iCs/>
          <w:color w:val="FF0000"/>
          <w:sz w:val="20"/>
          <w:szCs w:val="20"/>
        </w:rPr>
        <w:t>.</w:t>
      </w:r>
      <w:r w:rsidR="0065753B" w:rsidRPr="00A837B1">
        <w:rPr>
          <w:i/>
          <w:iCs/>
          <w:color w:val="FF0000"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Similar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result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has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also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been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reported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recently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using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the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Yeast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model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of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HD.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All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these</w:t>
      </w:r>
      <w:r w:rsidR="0065753B" w:rsidRPr="00A837B1">
        <w:rPr>
          <w:iCs/>
          <w:sz w:val="20"/>
          <w:szCs w:val="20"/>
        </w:rPr>
        <w:t xml:space="preserve"> </w:t>
      </w:r>
      <w:r w:rsidR="00DC10BB" w:rsidRPr="00A837B1">
        <w:rPr>
          <w:iCs/>
          <w:sz w:val="20"/>
          <w:szCs w:val="20"/>
        </w:rPr>
        <w:t>results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support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notion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anti-apoptotic/pro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survival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="00DC10BB" w:rsidRPr="00A837B1">
        <w:rPr>
          <w:bCs/>
          <w:color w:val="FF0000"/>
          <w:sz w:val="20"/>
          <w:szCs w:val="20"/>
        </w:rPr>
        <w:t>[STR18-STR23]</w:t>
      </w:r>
      <w:r w:rsidR="00DC10BB" w:rsidRPr="00A837B1">
        <w:rPr>
          <w:b/>
          <w:bCs/>
          <w:sz w:val="20"/>
          <w:szCs w:val="20"/>
        </w:rPr>
        <w:t>.</w:t>
      </w:r>
      <w:r w:rsidR="0065753B" w:rsidRPr="00A837B1">
        <w:rPr>
          <w:b/>
          <w:bCs/>
          <w:sz w:val="20"/>
          <w:szCs w:val="20"/>
        </w:rPr>
        <w:t xml:space="preserve"> </w:t>
      </w:r>
      <w:r w:rsidRPr="00A837B1">
        <w:rPr>
          <w:sz w:val="20"/>
          <w:szCs w:val="20"/>
        </w:rPr>
        <w:t>Reduction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siRNA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effects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approach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treatment</w:t>
      </w:r>
      <w:r w:rsidR="0065753B" w:rsidRPr="00A837B1">
        <w:rPr>
          <w:sz w:val="20"/>
          <w:szCs w:val="20"/>
        </w:rPr>
        <w:t xml:space="preserve"> </w:t>
      </w:r>
      <w:r w:rsidR="002B45E2" w:rsidRPr="00A837B1">
        <w:rPr>
          <w:color w:val="FF0000"/>
          <w:sz w:val="20"/>
          <w:szCs w:val="20"/>
        </w:rPr>
        <w:t>[STR24]</w:t>
      </w:r>
      <w:r w:rsidR="002B45E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Polymorphic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(rs2742976,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G/A)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putative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promoters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(-293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TSS)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transcription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factor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E2F2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potential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modifier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localized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putative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transcription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factor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binding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site.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also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E2F2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lymphocytes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T/T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homozygous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significantly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lower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compared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G/G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homozygous</w:t>
      </w:r>
      <w:r w:rsidR="0065753B" w:rsidRPr="00A837B1">
        <w:rPr>
          <w:sz w:val="20"/>
          <w:szCs w:val="20"/>
        </w:rPr>
        <w:t xml:space="preserve"> </w:t>
      </w:r>
      <w:r w:rsidR="002B45E2" w:rsidRPr="00A837B1">
        <w:rPr>
          <w:color w:val="FF0000"/>
          <w:sz w:val="20"/>
          <w:szCs w:val="20"/>
        </w:rPr>
        <w:t>[52]</w:t>
      </w:r>
      <w:r w:rsidR="002B45E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E2F2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remains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established.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Very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recently,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loci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AAO</w:t>
      </w:r>
      <w:r w:rsidR="002B45E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bookmarkStart w:id="0" w:name="OLE_LINK1"/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significant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SNPs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associated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with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AAO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were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rs146353869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(A/C)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and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rs2140734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(G/T)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on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chromosome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15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with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p=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3x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-20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and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7.1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-14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respectively.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Other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loci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rs1037699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</w:t>
      </w:r>
      <w:r w:rsidR="008E2FF3" w:rsidRPr="00A837B1">
        <w:rPr>
          <w:rFonts w:eastAsia="Calibri"/>
          <w:color w:val="000000"/>
          <w:sz w:val="20"/>
          <w:szCs w:val="20"/>
        </w:rPr>
        <w:t>c</w:t>
      </w:r>
      <w:r w:rsidRPr="00A837B1">
        <w:rPr>
          <w:rFonts w:eastAsia="Calibri"/>
          <w:color w:val="000000"/>
          <w:sz w:val="20"/>
          <w:szCs w:val="20"/>
        </w:rPr>
        <w:t>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8,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T/C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p=2.7x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-8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rs147804330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(chromosome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2,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A/G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p=7.6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x10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rs144287831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</w:t>
      </w:r>
      <w:r w:rsidR="008E2FF3" w:rsidRPr="00A837B1">
        <w:rPr>
          <w:rFonts w:eastAsia="Calibri"/>
          <w:color w:val="000000"/>
          <w:sz w:val="20"/>
          <w:szCs w:val="20"/>
        </w:rPr>
        <w:t>c</w:t>
      </w:r>
      <w:r w:rsidRPr="00A837B1">
        <w:rPr>
          <w:rFonts w:eastAsia="Calibri"/>
          <w:color w:val="000000"/>
          <w:sz w:val="20"/>
          <w:szCs w:val="20"/>
        </w:rPr>
        <w:t>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3,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C/T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p=2.2x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rs11133929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(chromosome5,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C/T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p=2.1x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rs11061229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</w:t>
      </w:r>
      <w:r w:rsidR="008E2FF3" w:rsidRPr="00A837B1">
        <w:rPr>
          <w:rFonts w:eastAsia="Calibri"/>
          <w:color w:val="000000"/>
          <w:sz w:val="20"/>
          <w:szCs w:val="20"/>
        </w:rPr>
        <w:t>c</w:t>
      </w:r>
      <w:r w:rsidRPr="00A837B1">
        <w:rPr>
          <w:rFonts w:eastAsia="Calibri"/>
          <w:color w:val="000000"/>
          <w:sz w:val="20"/>
          <w:szCs w:val="20"/>
        </w:rPr>
        <w:t>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12,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C/G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6.7x10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rs261453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</w:t>
      </w:r>
      <w:r w:rsidR="008E2FF3" w:rsidRPr="00A837B1">
        <w:rPr>
          <w:rFonts w:eastAsia="Calibri"/>
          <w:color w:val="000000"/>
          <w:sz w:val="20"/>
          <w:szCs w:val="20"/>
        </w:rPr>
        <w:t>c</w:t>
      </w:r>
      <w:r w:rsidRPr="00A837B1">
        <w:rPr>
          <w:rFonts w:eastAsia="Calibri"/>
          <w:color w:val="000000"/>
          <w:sz w:val="20"/>
          <w:szCs w:val="20"/>
        </w:rPr>
        <w:t>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13,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A/C,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9.0X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rs143367341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(chromosome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21,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G/A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polymorphism,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2.5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x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rFonts w:eastAsia="Calibri"/>
          <w:color w:val="000000"/>
          <w:sz w:val="20"/>
          <w:szCs w:val="20"/>
        </w:rPr>
        <w:t>10</w:t>
      </w:r>
      <w:r w:rsidRPr="00A837B1">
        <w:rPr>
          <w:rFonts w:eastAsia="Calibri"/>
          <w:color w:val="FF0000"/>
          <w:sz w:val="20"/>
          <w:szCs w:val="20"/>
          <w:vertAlign w:val="superscript"/>
        </w:rPr>
        <w:t>-7</w:t>
      </w:r>
      <w:r w:rsidRPr="00A837B1">
        <w:rPr>
          <w:rFonts w:eastAsia="Calibri"/>
          <w:color w:val="000000"/>
          <w:sz w:val="20"/>
          <w:szCs w:val="20"/>
        </w:rPr>
        <w:t>)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="002B45E2" w:rsidRPr="00A837B1">
        <w:rPr>
          <w:rFonts w:eastAsia="Calibri"/>
          <w:color w:val="FF0000"/>
          <w:sz w:val="20"/>
          <w:szCs w:val="20"/>
        </w:rPr>
        <w:t>[53]</w:t>
      </w:r>
      <w:r w:rsidRPr="00A837B1">
        <w:rPr>
          <w:rFonts w:eastAsia="Calibri"/>
          <w:color w:val="000000"/>
          <w:sz w:val="20"/>
          <w:szCs w:val="20"/>
        </w:rPr>
        <w:t>.</w:t>
      </w:r>
      <w:r w:rsidR="0065753B" w:rsidRPr="00A837B1">
        <w:rPr>
          <w:rFonts w:eastAsia="Calibri"/>
          <w:color w:val="000000"/>
          <w:sz w:val="20"/>
          <w:szCs w:val="20"/>
        </w:rPr>
        <w:t xml:space="preserve"> </w:t>
      </w:r>
      <w:r w:rsidRPr="00A837B1">
        <w:rPr>
          <w:sz w:val="20"/>
          <w:szCs w:val="20"/>
        </w:rPr>
        <w:t>Co</w:t>
      </w:r>
      <w:r w:rsidR="00D13993" w:rsidRPr="00A837B1">
        <w:rPr>
          <w:sz w:val="20"/>
          <w:szCs w:val="20"/>
        </w:rPr>
        <w:t>py-number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variation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(CNV)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SLC2A3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gene,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coding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neuronal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glucose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transporter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GLUT3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could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bookmarkStart w:id="1" w:name="_GoBack"/>
      <w:r w:rsidRPr="00A837B1">
        <w:rPr>
          <w:sz w:val="20"/>
          <w:szCs w:val="20"/>
        </w:rPr>
        <w:t>A</w:t>
      </w:r>
      <w:r w:rsidR="008E2FF3" w:rsidRPr="00A837B1">
        <w:rPr>
          <w:sz w:val="20"/>
          <w:szCs w:val="20"/>
        </w:rPr>
        <w:t>A</w:t>
      </w:r>
      <w:r w:rsidRPr="00A837B1">
        <w:rPr>
          <w:sz w:val="20"/>
          <w:szCs w:val="20"/>
        </w:rPr>
        <w:t>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dosage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SLC2A3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delayed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8E2FF3" w:rsidRPr="00A837B1">
        <w:rPr>
          <w:sz w:val="20"/>
          <w:szCs w:val="20"/>
        </w:rPr>
        <w:t>A</w:t>
      </w:r>
      <w:r w:rsidRPr="00A837B1">
        <w:rPr>
          <w:sz w:val="20"/>
          <w:szCs w:val="20"/>
        </w:rPr>
        <w:t>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cohort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987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individuals</w:t>
      </w:r>
      <w:r w:rsidR="0065753B" w:rsidRPr="00A837B1">
        <w:rPr>
          <w:sz w:val="20"/>
          <w:szCs w:val="20"/>
        </w:rPr>
        <w:t xml:space="preserve"> </w:t>
      </w:r>
      <w:r w:rsidR="002B45E2" w:rsidRPr="00A837B1">
        <w:rPr>
          <w:color w:val="FF0000"/>
          <w:sz w:val="20"/>
          <w:szCs w:val="20"/>
        </w:rPr>
        <w:t>[54]</w:t>
      </w:r>
      <w:r w:rsidR="002B45E2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bookmarkEnd w:id="1"/>
      <w:r w:rsidR="003626EE"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basis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replication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some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studies,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sufficient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statistical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power,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functional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implications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pathology,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have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taken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OGG1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PPARGC1A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NPY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NRF-1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GLUT3/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SLC2A3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HTT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ATG7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CNR1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NPY2R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GRIN2A</w:t>
      </w:r>
      <w:r w:rsidR="003626EE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HAP1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i/>
          <w:color w:val="FF0000"/>
          <w:sz w:val="20"/>
          <w:szCs w:val="20"/>
        </w:rPr>
        <w:t>ADORA2A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further</w:t>
      </w:r>
      <w:r w:rsidR="0065753B" w:rsidRPr="00A837B1">
        <w:rPr>
          <w:sz w:val="20"/>
          <w:szCs w:val="20"/>
        </w:rPr>
        <w:t xml:space="preserve"> </w:t>
      </w:r>
      <w:r w:rsidR="003626EE" w:rsidRPr="00A837B1">
        <w:rPr>
          <w:sz w:val="20"/>
          <w:szCs w:val="20"/>
        </w:rPr>
        <w:t>study.</w:t>
      </w:r>
    </w:p>
    <w:p w:rsidR="00726D70" w:rsidRPr="00A837B1" w:rsidRDefault="0085140F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Table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T6: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CD60E1" w:rsidRPr="00A837B1">
        <w:rPr>
          <w:sz w:val="20"/>
          <w:szCs w:val="20"/>
        </w:rPr>
        <w:t>.</w:t>
      </w:r>
    </w:p>
    <w:p w:rsidR="0085140F" w:rsidRPr="00A837B1" w:rsidRDefault="0085140F" w:rsidP="00A837B1">
      <w:pPr>
        <w:spacing w:line="360" w:lineRule="auto"/>
        <w:jc w:val="both"/>
        <w:rPr>
          <w:b/>
          <w:sz w:val="20"/>
          <w:szCs w:val="20"/>
        </w:rPr>
      </w:pPr>
      <w:r w:rsidRPr="00A837B1">
        <w:rPr>
          <w:b/>
          <w:sz w:val="20"/>
          <w:szCs w:val="20"/>
        </w:rPr>
        <w:t>HD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associated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genes</w:t>
      </w:r>
    </w:p>
    <w:p w:rsidR="00F36718" w:rsidRPr="00A837B1" w:rsidRDefault="0085140F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Combining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resources,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siRNA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proofErr w:type="spellStart"/>
      <w:r w:rsidRPr="00A837B1">
        <w:rPr>
          <w:sz w:val="20"/>
          <w:szCs w:val="20"/>
        </w:rPr>
        <w:t>Hdsi</w:t>
      </w:r>
      <w:proofErr w:type="spellEnd"/>
      <w:r w:rsidRPr="00A837B1">
        <w:rPr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co-expressed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(co-express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db),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alter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Up/Down)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variations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="00CB0D7B" w:rsidRPr="00A837B1">
        <w:rPr>
          <w:sz w:val="20"/>
          <w:szCs w:val="20"/>
        </w:rPr>
        <w:t>AAO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detail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please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material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methods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(sections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2.1-2.5),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those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reported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involve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example,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ADD1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belongs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namely</w:t>
      </w:r>
      <w:r w:rsidR="0065753B" w:rsidRPr="00A837B1">
        <w:rPr>
          <w:sz w:val="20"/>
          <w:szCs w:val="20"/>
        </w:rPr>
        <w:t xml:space="preserve"> </w:t>
      </w:r>
      <w:proofErr w:type="gramStart"/>
      <w:r w:rsidRPr="00A837B1">
        <w:rPr>
          <w:sz w:val="20"/>
          <w:szCs w:val="20"/>
        </w:rPr>
        <w:t>Caudate</w:t>
      </w:r>
      <w:proofErr w:type="gram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UP,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Co-</w:t>
      </w:r>
      <w:proofErr w:type="spellStart"/>
      <w:r w:rsidRPr="00A837B1">
        <w:rPr>
          <w:sz w:val="20"/>
          <w:szCs w:val="20"/>
        </w:rPr>
        <w:t>expressdb</w:t>
      </w:r>
      <w:proofErr w:type="spellEnd"/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Hdsi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Thirty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eight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belong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seven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categories.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Four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hundred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twenty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four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least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seven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categories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S6)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together,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463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considered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several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studies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where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manipulation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results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pathogenesis.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Number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modify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pathogenesis,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mainly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color w:val="FF0000"/>
          <w:sz w:val="20"/>
          <w:szCs w:val="20"/>
        </w:rPr>
        <w:t>[18]</w:t>
      </w:r>
      <w:r w:rsidR="00F36718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extended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approach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comparing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Genome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wide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siRNA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screening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elaborated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sz w:val="20"/>
          <w:szCs w:val="20"/>
        </w:rPr>
        <w:t>Supplementary</w:t>
      </w:r>
      <w:r w:rsidR="0065753B" w:rsidRPr="00A837B1">
        <w:rPr>
          <w:sz w:val="20"/>
          <w:szCs w:val="20"/>
        </w:rPr>
        <w:t xml:space="preserve"> </w:t>
      </w:r>
      <w:r w:rsidR="00D13993" w:rsidRPr="00A837B1">
        <w:rPr>
          <w:color w:val="FF0000"/>
          <w:sz w:val="20"/>
          <w:szCs w:val="20"/>
        </w:rPr>
        <w:t>TEXT</w:t>
      </w:r>
      <w:r w:rsidR="0065753B" w:rsidRPr="00A837B1">
        <w:rPr>
          <w:color w:val="FF0000"/>
          <w:sz w:val="20"/>
          <w:szCs w:val="20"/>
        </w:rPr>
        <w:t xml:space="preserve"> </w:t>
      </w:r>
      <w:r w:rsidR="00D13993" w:rsidRPr="00A837B1">
        <w:rPr>
          <w:color w:val="FF0000"/>
          <w:sz w:val="20"/>
          <w:szCs w:val="20"/>
        </w:rPr>
        <w:t>T3</w:t>
      </w:r>
      <w:r w:rsidR="00D13993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Searching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interacting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which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either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suppressor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enhancer,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additional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47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proteins.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These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proteins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interact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modulators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F36718"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="00F36718"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="00F36718" w:rsidRPr="00A837B1">
        <w:rPr>
          <w:color w:val="FF0000"/>
          <w:sz w:val="20"/>
          <w:szCs w:val="20"/>
        </w:rPr>
        <w:t>S6)</w:t>
      </w:r>
      <w:r w:rsidR="00F36718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designated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511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="00BD5E13"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="00CB0D7B" w:rsidRPr="00A837B1">
        <w:rPr>
          <w:sz w:val="20"/>
          <w:szCs w:val="20"/>
        </w:rPr>
        <w:t>altogether</w:t>
      </w:r>
      <w:r w:rsidR="00BD5E13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</w:p>
    <w:p w:rsidR="0085140F" w:rsidRPr="00A837B1" w:rsidRDefault="0085140F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Activation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03234E" w:rsidRPr="00A837B1">
        <w:rPr>
          <w:sz w:val="20"/>
          <w:szCs w:val="20"/>
        </w:rPr>
        <w:t>PRKAA1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(AMPK</w:t>
      </w:r>
      <w:r w:rsidR="0003234E" w:rsidRPr="00A837B1">
        <w:rPr>
          <w:sz w:val="20"/>
          <w:szCs w:val="20"/>
        </w:rPr>
        <w:t>1/</w:t>
      </w:r>
      <w:r w:rsidR="0065753B" w:rsidRPr="00A837B1">
        <w:rPr>
          <w:sz w:val="20"/>
          <w:szCs w:val="20"/>
        </w:rPr>
        <w:t xml:space="preserve"> </w:t>
      </w:r>
      <w:r w:rsidR="0003234E" w:rsidRPr="00A837B1">
        <w:rPr>
          <w:sz w:val="20"/>
          <w:szCs w:val="20"/>
        </w:rPr>
        <w:t>AMPK</w:t>
      </w:r>
      <w:r w:rsidR="0003234E" w:rsidRPr="00A837B1">
        <w:rPr>
          <w:color w:val="FF0000"/>
          <w:sz w:val="20"/>
          <w:szCs w:val="20"/>
        </w:rPr>
        <w:t>α</w:t>
      </w:r>
      <w:r w:rsidR="0003234E" w:rsidRPr="00A837B1">
        <w:rPr>
          <w:sz w:val="20"/>
          <w:szCs w:val="20"/>
        </w:rPr>
        <w:t>1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enhanced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level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oxidative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primary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R6/2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striatum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two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different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(R6/2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Hdh</w:t>
      </w:r>
      <w:proofErr w:type="spellEnd"/>
      <w:r w:rsidR="008E158F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(150Q/+).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AMPK</w:t>
      </w:r>
      <w:r w:rsidR="00CB0D7B" w:rsidRPr="00A837B1">
        <w:rPr>
          <w:sz w:val="20"/>
          <w:szCs w:val="20"/>
        </w:rPr>
        <w:t>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level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oxidative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stress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indicating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possible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role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lastRenderedPageBreak/>
        <w:t>AMPK</w:t>
      </w:r>
      <w:r w:rsidR="00CB0D7B" w:rsidRPr="00A837B1">
        <w:rPr>
          <w:sz w:val="20"/>
          <w:szCs w:val="20"/>
        </w:rPr>
        <w:t>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="00275497" w:rsidRPr="00A837B1">
        <w:rPr>
          <w:color w:val="FF0000"/>
          <w:sz w:val="20"/>
          <w:szCs w:val="20"/>
        </w:rPr>
        <w:t>[STR25]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NGFR/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p75NTR/TNFRSF16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postmortem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brains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NGFR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prevented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cognitive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decline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plasticity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rescued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NGFR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signaling</w:t>
      </w:r>
      <w:r w:rsidR="0065753B" w:rsidRPr="00A837B1">
        <w:rPr>
          <w:sz w:val="20"/>
          <w:szCs w:val="20"/>
        </w:rPr>
        <w:t xml:space="preserve"> </w:t>
      </w:r>
      <w:r w:rsidR="00275497" w:rsidRPr="00A837B1">
        <w:rPr>
          <w:color w:val="FF0000"/>
          <w:sz w:val="20"/>
          <w:szCs w:val="20"/>
        </w:rPr>
        <w:t>[STR26</w:t>
      </w:r>
      <w:proofErr w:type="gramStart"/>
      <w:r w:rsidR="00275497" w:rsidRPr="00A837B1">
        <w:rPr>
          <w:color w:val="FF0000"/>
          <w:sz w:val="20"/>
          <w:szCs w:val="20"/>
        </w:rPr>
        <w:t>,STR27</w:t>
      </w:r>
      <w:proofErr w:type="gramEnd"/>
      <w:r w:rsidR="00275497" w:rsidRPr="00A837B1">
        <w:rPr>
          <w:color w:val="FF0000"/>
          <w:sz w:val="20"/>
          <w:szCs w:val="20"/>
        </w:rPr>
        <w:t>]</w:t>
      </w:r>
      <w:r w:rsidR="00275497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Glutathione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peroxidase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Gpx6</w:t>
      </w:r>
      <w:r w:rsidRPr="00A837B1">
        <w:rPr>
          <w:sz w:val="20"/>
          <w:szCs w:val="20"/>
        </w:rPr>
        <w:t>),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regulated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identified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toxicity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synthetic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lethal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screening.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Over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Gpx6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alleviates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behavioral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molecular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phenotypes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</w:t>
      </w:r>
      <w:r w:rsidR="00A922BF" w:rsidRPr="00A837B1">
        <w:rPr>
          <w:sz w:val="20"/>
          <w:szCs w:val="20"/>
        </w:rPr>
        <w:t>D</w:t>
      </w:r>
      <w:r w:rsidR="0065753B" w:rsidRPr="00A837B1">
        <w:rPr>
          <w:sz w:val="20"/>
          <w:szCs w:val="20"/>
        </w:rPr>
        <w:t xml:space="preserve"> </w:t>
      </w:r>
      <w:r w:rsidR="00275497" w:rsidRPr="00A837B1">
        <w:rPr>
          <w:color w:val="FF0000"/>
          <w:sz w:val="20"/>
          <w:szCs w:val="20"/>
        </w:rPr>
        <w:t>[STR</w:t>
      </w:r>
      <w:r w:rsidR="0065753B" w:rsidRPr="00A837B1">
        <w:rPr>
          <w:color w:val="FF0000"/>
          <w:sz w:val="20"/>
          <w:szCs w:val="20"/>
        </w:rPr>
        <w:t xml:space="preserve"> </w:t>
      </w:r>
      <w:r w:rsidR="00275497" w:rsidRPr="00A837B1">
        <w:rPr>
          <w:color w:val="FF0000"/>
          <w:sz w:val="20"/>
          <w:szCs w:val="20"/>
        </w:rPr>
        <w:t>28]</w:t>
      </w:r>
      <w:r w:rsidR="00A922BF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000000"/>
          <w:sz w:val="20"/>
          <w:szCs w:val="20"/>
          <w:shd w:val="clear" w:color="auto" w:fill="FFFFFF"/>
        </w:rPr>
        <w:t>Ube3a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ubiquitin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ligase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E3A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(ubiquitin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protein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ligase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E3A)</w:t>
      </w:r>
      <w:r w:rsidR="0065753B" w:rsidRPr="00A837B1">
        <w:rPr>
          <w:sz w:val="20"/>
          <w:szCs w:val="20"/>
        </w:rPr>
        <w:t xml:space="preserve"> </w:t>
      </w:r>
      <w:r w:rsidR="009A4172" w:rsidRPr="00A837B1">
        <w:rPr>
          <w:color w:val="FF0000"/>
          <w:sz w:val="20"/>
          <w:szCs w:val="20"/>
        </w:rPr>
        <w:t>[STR29</w:t>
      </w:r>
      <w:proofErr w:type="gramStart"/>
      <w:r w:rsidRPr="00A837B1">
        <w:rPr>
          <w:color w:val="FF0000"/>
          <w:sz w:val="20"/>
          <w:szCs w:val="20"/>
        </w:rPr>
        <w:t>,</w:t>
      </w:r>
      <w:r w:rsidR="009A4172" w:rsidRPr="00A837B1">
        <w:rPr>
          <w:color w:val="FF0000"/>
          <w:sz w:val="20"/>
          <w:szCs w:val="20"/>
        </w:rPr>
        <w:t>STR30</w:t>
      </w:r>
      <w:proofErr w:type="gramEnd"/>
      <w:r w:rsidR="009A4172" w:rsidRPr="00A837B1">
        <w:rPr>
          <w:color w:val="FF0000"/>
          <w:sz w:val="20"/>
          <w:szCs w:val="20"/>
        </w:rPr>
        <w:t>]</w:t>
      </w:r>
      <w:r w:rsidR="00A922BF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000000"/>
          <w:sz w:val="20"/>
          <w:szCs w:val="20"/>
          <w:shd w:val="clear" w:color="auto" w:fill="FFFFFF"/>
        </w:rPr>
        <w:t>USP14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Pr="00A837B1">
        <w:rPr>
          <w:color w:val="000000"/>
          <w:sz w:val="20"/>
          <w:szCs w:val="20"/>
          <w:shd w:val="clear" w:color="auto" w:fill="FFFFFF"/>
        </w:rPr>
        <w:t>ubiquitin-specific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Pr="00A837B1">
        <w:rPr>
          <w:color w:val="000000"/>
          <w:sz w:val="20"/>
          <w:szCs w:val="20"/>
          <w:shd w:val="clear" w:color="auto" w:fill="FFFFFF"/>
        </w:rPr>
        <w:t>protease-14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A922BF" w:rsidRPr="00A837B1">
        <w:rPr>
          <w:color w:val="FF0000"/>
          <w:sz w:val="20"/>
          <w:szCs w:val="20"/>
          <w:shd w:val="clear" w:color="auto" w:fill="FFFFFF"/>
        </w:rPr>
        <w:t>[STR31]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A922BF" w:rsidRPr="00A837B1">
        <w:rPr>
          <w:color w:val="000000"/>
          <w:sz w:val="20"/>
          <w:szCs w:val="20"/>
          <w:shd w:val="clear" w:color="auto" w:fill="FFFFFF"/>
        </w:rPr>
        <w:t>were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A922BF" w:rsidRPr="00A837B1">
        <w:rPr>
          <w:color w:val="000000"/>
          <w:sz w:val="20"/>
          <w:szCs w:val="20"/>
          <w:shd w:val="clear" w:color="auto" w:fill="FFFFFF"/>
        </w:rPr>
        <w:t>also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A922BF" w:rsidRPr="00A837B1">
        <w:rPr>
          <w:color w:val="000000"/>
          <w:sz w:val="20"/>
          <w:szCs w:val="20"/>
          <w:shd w:val="clear" w:color="auto" w:fill="FFFFFF"/>
        </w:rPr>
        <w:t>implicated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CB0D7B" w:rsidRPr="00A837B1">
        <w:rPr>
          <w:color w:val="000000"/>
          <w:sz w:val="20"/>
          <w:szCs w:val="20"/>
          <w:shd w:val="clear" w:color="auto" w:fill="FFFFFF"/>
        </w:rPr>
        <w:t>in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CB0D7B" w:rsidRPr="00A837B1">
        <w:rPr>
          <w:color w:val="000000"/>
          <w:sz w:val="20"/>
          <w:szCs w:val="20"/>
          <w:shd w:val="clear" w:color="auto" w:fill="FFFFFF"/>
        </w:rPr>
        <w:t>HD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="00CB0D7B" w:rsidRPr="00A837B1">
        <w:rPr>
          <w:color w:val="000000"/>
          <w:sz w:val="20"/>
          <w:szCs w:val="20"/>
          <w:shd w:val="clear" w:color="auto" w:fill="FFFFFF"/>
        </w:rPr>
        <w:t>pathogenesis</w:t>
      </w:r>
      <w:r w:rsidR="00A922BF" w:rsidRPr="00A837B1">
        <w:rPr>
          <w:color w:val="000000"/>
          <w:sz w:val="20"/>
          <w:szCs w:val="20"/>
          <w:shd w:val="clear" w:color="auto" w:fill="FFFFFF"/>
        </w:rPr>
        <w:t>.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Pr="00A837B1">
        <w:rPr>
          <w:sz w:val="20"/>
          <w:szCs w:val="20"/>
        </w:rPr>
        <w:t>Further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APAF1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DRD1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42237F" w:rsidRPr="00A837B1">
        <w:rPr>
          <w:i/>
          <w:color w:val="FF0000"/>
          <w:sz w:val="20"/>
          <w:szCs w:val="20"/>
        </w:rPr>
        <w:t>ATM</w:t>
      </w:r>
      <w:r w:rsidR="0042237F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42237F" w:rsidRPr="00A837B1">
        <w:rPr>
          <w:i/>
          <w:color w:val="FF0000"/>
          <w:sz w:val="20"/>
          <w:szCs w:val="20"/>
        </w:rPr>
        <w:t>HDAC1</w:t>
      </w:r>
      <w:r w:rsidR="0042237F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="0042237F" w:rsidRPr="00A837B1">
        <w:rPr>
          <w:i/>
          <w:color w:val="FF0000"/>
          <w:sz w:val="20"/>
          <w:szCs w:val="20"/>
        </w:rPr>
        <w:t>HDAC3</w:t>
      </w:r>
      <w:r w:rsidR="0042237F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SQSTM1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i/>
          <w:color w:val="FF0000"/>
          <w:sz w:val="20"/>
          <w:szCs w:val="20"/>
        </w:rPr>
        <w:t>SNCA</w:t>
      </w:r>
      <w:r w:rsidR="0065753B" w:rsidRPr="00A837B1">
        <w:rPr>
          <w:i/>
          <w:color w:val="FF0000"/>
          <w:sz w:val="20"/>
          <w:szCs w:val="20"/>
        </w:rPr>
        <w:t xml:space="preserve"> </w:t>
      </w:r>
      <w:r w:rsidRPr="00A837B1">
        <w:rPr>
          <w:sz w:val="20"/>
          <w:szCs w:val="20"/>
        </w:rPr>
        <w:t>were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modulate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Knock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pharmacological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SVT016426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poly</w:t>
      </w:r>
      <w:r w:rsidR="00CB0D7B" w:rsidRPr="00A837B1">
        <w:rPr>
          <w:sz w:val="20"/>
          <w:szCs w:val="20"/>
        </w:rPr>
        <w:t>Q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aggregation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apoptotic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death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Hsp70;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presence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inhibitor</w:t>
      </w:r>
      <w:r w:rsidR="0065753B" w:rsidRPr="00A837B1">
        <w:rPr>
          <w:sz w:val="20"/>
          <w:szCs w:val="20"/>
        </w:rPr>
        <w:t xml:space="preserve"> </w:t>
      </w:r>
      <w:r w:rsidR="00CB0D7B" w:rsidRPr="00A837B1">
        <w:rPr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color w:val="FF0000"/>
          <w:sz w:val="20"/>
          <w:szCs w:val="20"/>
        </w:rPr>
        <w:t>[STR32]</w:t>
      </w:r>
      <w:r w:rsidR="009E02D0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S5B)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Thus</w:t>
      </w:r>
      <w:r w:rsidR="00CB0D7B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APAF1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likely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involved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R6/1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antagonist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(SCH23390)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Dopamine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receptor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(DRD1)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sz w:val="20"/>
          <w:szCs w:val="20"/>
        </w:rPr>
        <w:t>ADORA2A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sz w:val="20"/>
          <w:szCs w:val="20"/>
        </w:rPr>
        <w:t>/A2AR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protects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effects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transgenic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="00B42E4E" w:rsidRPr="00A837B1">
        <w:rPr>
          <w:color w:val="FF0000"/>
          <w:sz w:val="20"/>
          <w:szCs w:val="20"/>
        </w:rPr>
        <w:t>[91]</w:t>
      </w:r>
      <w:r w:rsidR="009E02D0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DRD1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S5A).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ATM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S5B)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Double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cross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Atm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heterozygous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null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allele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BACHD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expressing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full-length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human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been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shown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that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multiple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behavioral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abnormalities</w:t>
      </w:r>
      <w:r w:rsidR="0065753B" w:rsidRPr="00A837B1">
        <w:rPr>
          <w:sz w:val="20"/>
          <w:szCs w:val="20"/>
        </w:rPr>
        <w:t xml:space="preserve"> </w:t>
      </w:r>
      <w:r w:rsidR="00CB0D7B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improved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partially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neuropathology.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Besides,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ATM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inhibitors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mutant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death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rat</w:t>
      </w:r>
      <w:r w:rsidR="0065753B" w:rsidRPr="00A837B1">
        <w:rPr>
          <w:sz w:val="20"/>
          <w:szCs w:val="20"/>
        </w:rPr>
        <w:t xml:space="preserve"> </w:t>
      </w:r>
      <w:proofErr w:type="spellStart"/>
      <w:r w:rsidRPr="00A837B1">
        <w:rPr>
          <w:sz w:val="20"/>
          <w:szCs w:val="20"/>
        </w:rPr>
        <w:t>striatal</w:t>
      </w:r>
      <w:proofErr w:type="spellEnd"/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neurons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induced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pluripotent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stem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cells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derived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patients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color w:val="FF0000"/>
          <w:sz w:val="20"/>
          <w:szCs w:val="20"/>
        </w:rPr>
        <w:t>[STR33]</w:t>
      </w:r>
      <w:r w:rsidR="009E02D0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SQSTM1/p62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interacts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wild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type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HTT</w:t>
      </w:r>
      <w:r w:rsidR="0065753B" w:rsidRPr="00A837B1">
        <w:rPr>
          <w:sz w:val="20"/>
          <w:szCs w:val="20"/>
        </w:rPr>
        <w:t xml:space="preserve"> </w:t>
      </w:r>
      <w:r w:rsidR="006A5D34" w:rsidRPr="00A837B1">
        <w:rPr>
          <w:color w:val="FF0000"/>
          <w:sz w:val="20"/>
          <w:szCs w:val="20"/>
        </w:rPr>
        <w:t>[STR34]</w:t>
      </w:r>
      <w:r w:rsidR="006A5D34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Deletion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i/>
          <w:color w:val="FF0000"/>
          <w:sz w:val="20"/>
          <w:szCs w:val="20"/>
        </w:rPr>
        <w:t>SQSTM1/p62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led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longer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life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span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reduced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nuclear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inclusions</w:t>
      </w:r>
      <w:r w:rsidR="0065753B" w:rsidRPr="00A837B1">
        <w:rPr>
          <w:sz w:val="20"/>
          <w:szCs w:val="20"/>
        </w:rPr>
        <w:t xml:space="preserve"> </w:t>
      </w:r>
      <w:r w:rsidR="006A5D34" w:rsidRPr="00A837B1">
        <w:rPr>
          <w:color w:val="FF0000"/>
          <w:sz w:val="20"/>
          <w:szCs w:val="20"/>
        </w:rPr>
        <w:t>[STR35]</w:t>
      </w:r>
      <w:r w:rsidR="006A5D34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="009E02D0" w:rsidRPr="00A837B1">
        <w:rPr>
          <w:sz w:val="20"/>
          <w:szCs w:val="20"/>
        </w:rPr>
        <w:t>E</w:t>
      </w:r>
      <w:r w:rsidRPr="00A837B1">
        <w:rPr>
          <w:sz w:val="20"/>
          <w:szCs w:val="20"/>
        </w:rPr>
        <w:t>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="00CB0D7B" w:rsidRPr="00A837B1">
        <w:rPr>
          <w:i/>
          <w:color w:val="FF0000"/>
          <w:sz w:val="20"/>
          <w:szCs w:val="20"/>
        </w:rPr>
        <w:t>SQSTM1/p62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was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S5A)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R6/2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mice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with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HDAC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inhibitors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specific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HDAC3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HDAC1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recover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phenotype.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such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treatment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improves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degeneration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eye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observed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</w:t>
      </w:r>
      <w:r w:rsidR="0065753B" w:rsidRPr="00A837B1">
        <w:rPr>
          <w:sz w:val="20"/>
          <w:szCs w:val="20"/>
        </w:rPr>
        <w:t xml:space="preserve"> </w:t>
      </w:r>
      <w:r w:rsidR="006A5D34" w:rsidRPr="00A837B1">
        <w:rPr>
          <w:color w:val="FF0000"/>
          <w:sz w:val="20"/>
          <w:szCs w:val="20"/>
        </w:rPr>
        <w:t>[STR36]</w:t>
      </w:r>
      <w:r w:rsidR="006A5D34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Over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α</w:t>
      </w:r>
      <w:r w:rsidRPr="00A837B1">
        <w:rPr>
          <w:sz w:val="20"/>
          <w:szCs w:val="20"/>
        </w:rPr>
        <w:t>-Synuclein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SNCA</w:t>
      </w:r>
      <w:r w:rsidRPr="00A837B1">
        <w:rPr>
          <w:sz w:val="20"/>
          <w:szCs w:val="20"/>
        </w:rPr>
        <w:t>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deletion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SNCA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respectively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pathogenesis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mouse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models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="006A5D34" w:rsidRPr="00A837B1">
        <w:rPr>
          <w:color w:val="FF0000"/>
          <w:sz w:val="20"/>
          <w:szCs w:val="20"/>
        </w:rPr>
        <w:t>[98]</w:t>
      </w:r>
      <w:r w:rsidR="006A5D34"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Expression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SNCA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decreased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the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caudate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of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(Supplementary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Table</w:t>
      </w:r>
      <w:r w:rsidR="0065753B" w:rsidRPr="00A837B1">
        <w:rPr>
          <w:color w:val="FF0000"/>
          <w:sz w:val="20"/>
          <w:szCs w:val="20"/>
        </w:rPr>
        <w:t xml:space="preserve"> </w:t>
      </w:r>
      <w:r w:rsidRPr="00A837B1">
        <w:rPr>
          <w:color w:val="FF0000"/>
          <w:sz w:val="20"/>
          <w:szCs w:val="20"/>
        </w:rPr>
        <w:t>S5A)</w:t>
      </w:r>
      <w:r w:rsidRPr="00A837B1">
        <w:rPr>
          <w:sz w:val="20"/>
          <w:szCs w:val="20"/>
        </w:rPr>
        <w:t>.</w:t>
      </w:r>
      <w:r w:rsidR="0065753B" w:rsidRPr="00A837B1">
        <w:rPr>
          <w:sz w:val="20"/>
          <w:szCs w:val="20"/>
        </w:rPr>
        <w:t xml:space="preserve"> </w:t>
      </w:r>
    </w:p>
    <w:p w:rsidR="00BD5E13" w:rsidRPr="00A837B1" w:rsidRDefault="00BD5E13" w:rsidP="00A837B1">
      <w:pPr>
        <w:spacing w:line="360" w:lineRule="auto"/>
        <w:jc w:val="both"/>
        <w:rPr>
          <w:sz w:val="20"/>
          <w:szCs w:val="20"/>
        </w:rPr>
      </w:pPr>
      <w:r w:rsidRPr="00A837B1">
        <w:rPr>
          <w:sz w:val="20"/>
          <w:szCs w:val="20"/>
        </w:rPr>
        <w:t>In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addition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511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0612D"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we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add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another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12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</w:t>
      </w:r>
      <w:r w:rsidRPr="00A837B1">
        <w:rPr>
          <w:i/>
          <w:color w:val="FF0000"/>
          <w:sz w:val="20"/>
          <w:szCs w:val="20"/>
        </w:rPr>
        <w:t>PRKAA1/AMPK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NGFR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Gpx6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  <w:shd w:val="clear" w:color="auto" w:fill="FFFFFF"/>
        </w:rPr>
        <w:t>Ube3a</w:t>
      </w:r>
      <w:r w:rsidRPr="00A837B1">
        <w:rPr>
          <w:color w:val="000000"/>
          <w:sz w:val="20"/>
          <w:szCs w:val="20"/>
          <w:shd w:val="clear" w:color="auto" w:fill="FFFFFF"/>
        </w:rPr>
        <w:t>,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Pr="00A837B1">
        <w:rPr>
          <w:i/>
          <w:color w:val="FF0000"/>
          <w:sz w:val="20"/>
          <w:szCs w:val="20"/>
          <w:shd w:val="clear" w:color="auto" w:fill="FFFFFF"/>
        </w:rPr>
        <w:t>USP14</w:t>
      </w:r>
      <w:r w:rsidRPr="00A837B1">
        <w:rPr>
          <w:color w:val="000000"/>
          <w:sz w:val="20"/>
          <w:szCs w:val="20"/>
          <w:shd w:val="clear" w:color="auto" w:fill="FFFFFF"/>
        </w:rPr>
        <w:t>,</w:t>
      </w:r>
      <w:r w:rsidR="0065753B" w:rsidRPr="00A837B1">
        <w:rPr>
          <w:color w:val="000000"/>
          <w:sz w:val="20"/>
          <w:szCs w:val="20"/>
          <w:shd w:val="clear" w:color="auto" w:fill="FFFFFF"/>
        </w:rPr>
        <w:t xml:space="preserve"> </w:t>
      </w:r>
      <w:r w:rsidRPr="00A837B1">
        <w:rPr>
          <w:i/>
          <w:color w:val="FF0000"/>
          <w:sz w:val="20"/>
          <w:szCs w:val="20"/>
        </w:rPr>
        <w:t>APAF1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DRD1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ATM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HDAC1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HDAC3</w:t>
      </w:r>
      <w:r w:rsidRPr="00A837B1">
        <w:rPr>
          <w:sz w:val="20"/>
          <w:szCs w:val="20"/>
        </w:rPr>
        <w:t>,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SQSTM1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i/>
          <w:color w:val="FF0000"/>
          <w:sz w:val="20"/>
          <w:szCs w:val="20"/>
        </w:rPr>
        <w:t>SNCA</w:t>
      </w:r>
      <w:r w:rsidRPr="00A837B1">
        <w:rPr>
          <w:sz w:val="20"/>
          <w:szCs w:val="20"/>
        </w:rPr>
        <w:t>);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total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523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HD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associated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genes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catalogued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analyzed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further.</w:t>
      </w:r>
    </w:p>
    <w:p w:rsidR="004E46B7" w:rsidRPr="00A837B1" w:rsidRDefault="004E46B7" w:rsidP="00A837B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837B1">
        <w:rPr>
          <w:b/>
          <w:sz w:val="20"/>
          <w:szCs w:val="20"/>
        </w:rPr>
        <w:t>Supplementary</w:t>
      </w:r>
      <w:r w:rsidR="0065753B" w:rsidRPr="00A837B1">
        <w:rPr>
          <w:b/>
          <w:sz w:val="20"/>
          <w:szCs w:val="20"/>
        </w:rPr>
        <w:t xml:space="preserve"> </w:t>
      </w:r>
      <w:r w:rsidRPr="00A837B1">
        <w:rPr>
          <w:b/>
          <w:sz w:val="20"/>
          <w:szCs w:val="20"/>
        </w:rPr>
        <w:t>TEXT</w:t>
      </w:r>
      <w:r w:rsidR="0065753B" w:rsidRPr="00A837B1">
        <w:rPr>
          <w:b/>
          <w:sz w:val="20"/>
          <w:szCs w:val="20"/>
        </w:rPr>
        <w:t xml:space="preserve"> </w:t>
      </w:r>
      <w:r w:rsidR="00894C7F" w:rsidRPr="00A837B1">
        <w:rPr>
          <w:b/>
          <w:sz w:val="20"/>
          <w:szCs w:val="20"/>
        </w:rPr>
        <w:t>T</w:t>
      </w:r>
      <w:r w:rsidR="0085140F" w:rsidRPr="00A837B1">
        <w:rPr>
          <w:b/>
          <w:sz w:val="20"/>
          <w:szCs w:val="20"/>
        </w:rPr>
        <w:t>7</w:t>
      </w:r>
      <w:r w:rsidRPr="00A837B1">
        <w:rPr>
          <w:b/>
          <w:sz w:val="20"/>
          <w:szCs w:val="20"/>
        </w:rPr>
        <w:t>: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Target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Validation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Score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(TVS)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based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on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experimental</w:t>
      </w:r>
      <w:r w:rsidR="0065753B" w:rsidRPr="00A837B1">
        <w:rPr>
          <w:sz w:val="20"/>
          <w:szCs w:val="20"/>
        </w:rPr>
        <w:t xml:space="preserve"> </w:t>
      </w:r>
      <w:r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="00455B9C" w:rsidRPr="00A837B1">
        <w:rPr>
          <w:sz w:val="20"/>
          <w:szCs w:val="20"/>
        </w:rPr>
        <w:t>and</w:t>
      </w:r>
      <w:r w:rsidR="0065753B" w:rsidRPr="00A837B1">
        <w:rPr>
          <w:sz w:val="20"/>
          <w:szCs w:val="20"/>
        </w:rPr>
        <w:t xml:space="preserve"> </w:t>
      </w:r>
      <w:r w:rsidR="00455B9C" w:rsidRPr="00A837B1">
        <w:rPr>
          <w:sz w:val="20"/>
          <w:szCs w:val="20"/>
        </w:rPr>
        <w:t>data</w:t>
      </w:r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sz w:val="20"/>
          <w:szCs w:val="20"/>
        </w:rPr>
        <w:t>collected</w:t>
      </w:r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sz w:val="20"/>
          <w:szCs w:val="20"/>
        </w:rPr>
        <w:t>from</w:t>
      </w:r>
      <w:r w:rsidR="0065753B" w:rsidRPr="00A837B1">
        <w:rPr>
          <w:sz w:val="20"/>
          <w:szCs w:val="20"/>
        </w:rPr>
        <w:t xml:space="preserve"> </w:t>
      </w:r>
      <w:proofErr w:type="spellStart"/>
      <w:r w:rsidR="00AD6E5B" w:rsidRPr="00A837B1">
        <w:rPr>
          <w:sz w:val="20"/>
          <w:szCs w:val="20"/>
        </w:rPr>
        <w:t>Kalathur</w:t>
      </w:r>
      <w:proofErr w:type="spellEnd"/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sz w:val="20"/>
          <w:szCs w:val="20"/>
        </w:rPr>
        <w:t>RK</w:t>
      </w:r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sz w:val="20"/>
          <w:szCs w:val="20"/>
        </w:rPr>
        <w:t>et</w:t>
      </w:r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sz w:val="20"/>
          <w:szCs w:val="20"/>
        </w:rPr>
        <w:t>al.,</w:t>
      </w:r>
      <w:r w:rsidR="0065753B" w:rsidRPr="00A837B1">
        <w:rPr>
          <w:sz w:val="20"/>
          <w:szCs w:val="20"/>
        </w:rPr>
        <w:t xml:space="preserve"> </w:t>
      </w:r>
      <w:r w:rsidR="00AD6E5B" w:rsidRPr="00A837B1">
        <w:rPr>
          <w:color w:val="FF0000"/>
          <w:sz w:val="20"/>
          <w:szCs w:val="20"/>
        </w:rPr>
        <w:t>[89]</w:t>
      </w:r>
      <w:r w:rsidR="00C53537" w:rsidRPr="00A837B1">
        <w:rPr>
          <w:sz w:val="20"/>
          <w:szCs w:val="20"/>
        </w:rPr>
        <w:t>.</w:t>
      </w:r>
    </w:p>
    <w:p w:rsidR="004E46B7" w:rsidRPr="00726D70" w:rsidRDefault="004E46B7" w:rsidP="004E46B7">
      <w:pPr>
        <w:ind w:left="720" w:hanging="7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  <w:gridCol w:w="489"/>
      </w:tblGrid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Experimental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evidence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modifying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effects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TVS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Drug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therapy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modulating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(target)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has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demonstrated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efficacy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Phase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3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clinical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trial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Drug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therapy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modulating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(target)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has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demonstrated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efficacy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Phase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2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clinical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trial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phenotype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non-rodent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large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animal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mammalian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model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(e.g.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primate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sheep)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improved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upon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manipulation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Improvement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phenotype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rodent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models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was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observed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using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therapeutically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relevant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drug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genetic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intervention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that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highly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specific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for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4.0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(target)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associated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with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linkage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study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humans,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when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manipulation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leads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to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changes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phenotype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rodent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models.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Causal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relationship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with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observed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D4362">
              <w:rPr>
                <w:rStyle w:val="Emphasis"/>
                <w:rFonts w:ascii="Arial" w:hAnsi="Arial" w:cs="Arial"/>
                <w:color w:val="FF0000"/>
                <w:sz w:val="14"/>
                <w:szCs w:val="14"/>
              </w:rPr>
              <w:t>in</w:t>
            </w:r>
            <w:r w:rsidR="0065753B">
              <w:rPr>
                <w:rStyle w:val="Emphasis"/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AD4362">
              <w:rPr>
                <w:rStyle w:val="Emphasis"/>
                <w:rFonts w:ascii="Arial" w:hAnsi="Arial" w:cs="Arial"/>
                <w:color w:val="FF0000"/>
                <w:sz w:val="14"/>
                <w:szCs w:val="14"/>
              </w:rPr>
              <w:t>vitro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cell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culture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lower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organism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model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upon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genetic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pharmacologic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modification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3.0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that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show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altered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pathway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functional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activity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Gene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with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change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expression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cellular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distribution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HD,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if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the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corresponding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protein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binds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to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mutant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53537">
              <w:rPr>
                <w:rFonts w:ascii="Arial" w:hAnsi="Arial" w:cs="Arial"/>
                <w:sz w:val="14"/>
                <w:szCs w:val="14"/>
              </w:rPr>
              <w:t>Htt</w:t>
            </w:r>
            <w:proofErr w:type="spellEnd"/>
            <w:r w:rsidRPr="00C5353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2.0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present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and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active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HD-relevant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brain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regions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linked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to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a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HD-relevant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biological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mechanism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1.0</w:t>
            </w:r>
          </w:p>
        </w:tc>
      </w:tr>
      <w:tr w:rsidR="004E46B7" w:rsidRPr="00C53537" w:rsidTr="00C53537">
        <w:trPr>
          <w:jc w:val="center"/>
        </w:trPr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Genes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implicated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in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neurodegeneration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or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53537">
              <w:rPr>
                <w:rFonts w:ascii="Arial" w:hAnsi="Arial" w:cs="Arial"/>
                <w:sz w:val="14"/>
                <w:szCs w:val="14"/>
              </w:rPr>
              <w:t>polyglutamine</w:t>
            </w:r>
            <w:proofErr w:type="spellEnd"/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dysfunction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based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on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genome-wide</w:t>
            </w:r>
            <w:r w:rsidR="006575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53537">
              <w:rPr>
                <w:rFonts w:ascii="Arial" w:hAnsi="Arial" w:cs="Arial"/>
                <w:sz w:val="14"/>
                <w:szCs w:val="14"/>
              </w:rPr>
              <w:t>screens</w:t>
            </w:r>
          </w:p>
        </w:tc>
        <w:tc>
          <w:tcPr>
            <w:tcW w:w="0" w:type="auto"/>
            <w:vAlign w:val="center"/>
          </w:tcPr>
          <w:p w:rsidR="004E46B7" w:rsidRPr="00C53537" w:rsidRDefault="004E46B7" w:rsidP="00C535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353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bookmarkEnd w:id="0"/>
    </w:tbl>
    <w:p w:rsidR="00C53537" w:rsidRDefault="00C53537" w:rsidP="00B33AA5">
      <w:pPr>
        <w:jc w:val="center"/>
      </w:pPr>
    </w:p>
    <w:p w:rsidR="00AD6E5B" w:rsidRPr="007A6110" w:rsidRDefault="00D90CB1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b/>
          <w:sz w:val="20"/>
          <w:szCs w:val="20"/>
        </w:rPr>
        <w:lastRenderedPageBreak/>
        <w:t>Supplementary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TEX</w:t>
      </w:r>
      <w:r w:rsidR="00C812C0" w:rsidRPr="007A6110">
        <w:rPr>
          <w:b/>
          <w:sz w:val="20"/>
          <w:szCs w:val="20"/>
        </w:rPr>
        <w:t>T</w:t>
      </w:r>
      <w:r w:rsidR="0065753B" w:rsidRPr="007A6110">
        <w:rPr>
          <w:b/>
          <w:sz w:val="20"/>
          <w:szCs w:val="20"/>
        </w:rPr>
        <w:t xml:space="preserve"> </w:t>
      </w:r>
      <w:r w:rsidR="00C812C0" w:rsidRPr="007A6110">
        <w:rPr>
          <w:b/>
          <w:sz w:val="20"/>
          <w:szCs w:val="20"/>
        </w:rPr>
        <w:t>T</w:t>
      </w:r>
      <w:r w:rsidRPr="007A6110">
        <w:rPr>
          <w:b/>
          <w:sz w:val="20"/>
          <w:szCs w:val="20"/>
        </w:rPr>
        <w:t>8:</w:t>
      </w:r>
      <w:r w:rsidR="0065753B" w:rsidRPr="007A6110">
        <w:rPr>
          <w:b/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genes,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which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either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726D70"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or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potential</w:t>
      </w:r>
      <w:r w:rsidR="0065753B" w:rsidRPr="007A6110">
        <w:rPr>
          <w:sz w:val="20"/>
          <w:szCs w:val="20"/>
        </w:rPr>
        <w:t xml:space="preserve"> </w:t>
      </w:r>
      <w:r w:rsidR="00D036AF"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potential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new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not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catalogued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sz w:val="20"/>
          <w:szCs w:val="20"/>
        </w:rPr>
        <w:t>Research</w:t>
      </w:r>
      <w:r w:rsidR="0065753B" w:rsidRPr="007A6110">
        <w:rPr>
          <w:sz w:val="20"/>
          <w:szCs w:val="20"/>
        </w:rPr>
        <w:t xml:space="preserve"> </w:t>
      </w:r>
      <w:r w:rsidR="00604AF0" w:rsidRPr="007A6110">
        <w:rPr>
          <w:i/>
          <w:color w:val="FF0000"/>
          <w:sz w:val="20"/>
          <w:szCs w:val="20"/>
        </w:rPr>
        <w:t>Crossroads</w:t>
      </w:r>
      <w:r w:rsidR="0065753B" w:rsidRPr="007A6110">
        <w:rPr>
          <w:i/>
          <w:color w:val="FF0000"/>
          <w:sz w:val="20"/>
          <w:szCs w:val="20"/>
        </w:rPr>
        <w:t xml:space="preserve"> </w:t>
      </w:r>
      <w:r w:rsidR="00281DE7" w:rsidRPr="007A6110">
        <w:rPr>
          <w:i/>
          <w:color w:val="FF0000"/>
          <w:sz w:val="20"/>
          <w:szCs w:val="20"/>
        </w:rPr>
        <w:t>(</w:t>
      </w:r>
      <w:r w:rsidR="00281DE7" w:rsidRPr="007A6110">
        <w:rPr>
          <w:rStyle w:val="HTMLCite"/>
          <w:i w:val="0"/>
          <w:sz w:val="20"/>
          <w:szCs w:val="20"/>
        </w:rPr>
        <w:t>http://www.hdresearchcrossroads.org/)</w:t>
      </w:r>
      <w:r w:rsidR="00C53537" w:rsidRPr="007A6110">
        <w:rPr>
          <w:rStyle w:val="HTMLCite"/>
          <w:i w:val="0"/>
          <w:sz w:val="20"/>
          <w:szCs w:val="20"/>
        </w:rPr>
        <w:t>.</w:t>
      </w:r>
    </w:p>
    <w:p w:rsidR="00281DE7" w:rsidRPr="007A6110" w:rsidRDefault="00604AF0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gather</w:t>
      </w:r>
      <w:r w:rsidR="0065753B" w:rsidRPr="007A6110">
        <w:rPr>
          <w:sz w:val="20"/>
          <w:szCs w:val="20"/>
        </w:rPr>
        <w:t xml:space="preserve"> </w:t>
      </w:r>
      <w:r w:rsidR="00985E3B" w:rsidRPr="007A6110">
        <w:rPr>
          <w:sz w:val="20"/>
          <w:szCs w:val="20"/>
        </w:rPr>
        <w:t>comprehensive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information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proteins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which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known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potential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drugs,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gather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information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diverse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sources.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identification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functions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</w:t>
      </w:r>
      <w:r w:rsidR="00AD6E5B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especially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biological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processes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annotated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Ontology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(GO),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used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Ontology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database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down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loaded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BioMart</w:t>
      </w:r>
      <w:proofErr w:type="spellEnd"/>
      <w:r w:rsidR="0065753B" w:rsidRPr="007A6110">
        <w:rPr>
          <w:sz w:val="20"/>
          <w:szCs w:val="20"/>
        </w:rPr>
        <w:t xml:space="preserve"> </w:t>
      </w:r>
      <w:r w:rsidR="007960AF" w:rsidRPr="007A6110">
        <w:rPr>
          <w:sz w:val="20"/>
          <w:szCs w:val="20"/>
        </w:rPr>
        <w:t>(</w:t>
      </w:r>
      <w:hyperlink r:id="rId12" w:history="1">
        <w:r w:rsidR="007960AF" w:rsidRPr="007A6110">
          <w:rPr>
            <w:rStyle w:val="Hyperlink"/>
            <w:sz w:val="20"/>
            <w:szCs w:val="20"/>
          </w:rPr>
          <w:t>http://www.ensembl.org/biomart/martview/3a7414d2ce1af7d18191aa71e329251b</w:t>
        </w:r>
      </w:hyperlink>
      <w:r w:rsidR="00AD6E5B" w:rsidRPr="007A6110">
        <w:rPr>
          <w:sz w:val="20"/>
          <w:szCs w:val="20"/>
        </w:rPr>
        <w:t>).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further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searched</w:t>
      </w:r>
      <w:r w:rsidR="0065753B" w:rsidRPr="007A6110">
        <w:rPr>
          <w:sz w:val="20"/>
          <w:szCs w:val="20"/>
        </w:rPr>
        <w:t xml:space="preserve"> </w:t>
      </w:r>
      <w:r w:rsidR="00645F61" w:rsidRPr="007A6110">
        <w:rPr>
          <w:sz w:val="20"/>
          <w:szCs w:val="20"/>
        </w:rPr>
        <w:t>online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Kyoto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Encyclopedia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Genomes</w:t>
      </w:r>
      <w:r w:rsidR="0065753B" w:rsidRPr="007A6110">
        <w:rPr>
          <w:sz w:val="20"/>
          <w:szCs w:val="20"/>
        </w:rPr>
        <w:t xml:space="preserve"> </w:t>
      </w:r>
      <w:r w:rsidR="00AD6E5B" w:rsidRPr="007A6110">
        <w:rPr>
          <w:sz w:val="20"/>
          <w:szCs w:val="20"/>
        </w:rPr>
        <w:t>(</w:t>
      </w:r>
      <w:r w:rsidR="007960AF" w:rsidRPr="007A6110">
        <w:rPr>
          <w:sz w:val="20"/>
          <w:szCs w:val="20"/>
        </w:rPr>
        <w:t>KEGG</w:t>
      </w:r>
      <w:r w:rsidR="00AD6E5B" w:rsidRPr="007A6110">
        <w:rPr>
          <w:sz w:val="20"/>
          <w:szCs w:val="20"/>
        </w:rPr>
        <w:t>)</w:t>
      </w:r>
      <w:r w:rsidR="0065753B" w:rsidRPr="007A6110">
        <w:rPr>
          <w:sz w:val="20"/>
          <w:szCs w:val="20"/>
        </w:rPr>
        <w:t xml:space="preserve"> </w:t>
      </w:r>
      <w:r w:rsidR="007960AF"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="007960AF"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="007960AF" w:rsidRPr="007A6110">
        <w:rPr>
          <w:sz w:val="20"/>
          <w:szCs w:val="20"/>
        </w:rPr>
        <w:t>(</w:t>
      </w:r>
      <w:hyperlink r:id="rId13" w:history="1">
        <w:r w:rsidR="007960AF" w:rsidRPr="007A6110">
          <w:rPr>
            <w:rStyle w:val="Hyperlink"/>
            <w:sz w:val="20"/>
            <w:szCs w:val="20"/>
          </w:rPr>
          <w:t>http://www.genome.jp/kegg/pathway.html</w:t>
        </w:r>
      </w:hyperlink>
      <w:r w:rsidR="007960AF" w:rsidRPr="007A6110">
        <w:rPr>
          <w:sz w:val="20"/>
          <w:szCs w:val="20"/>
        </w:rPr>
        <w:t>).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Besides,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32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normal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major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tissues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collected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data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published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by</w:t>
      </w:r>
      <w:r w:rsidR="0065753B" w:rsidRPr="007A6110">
        <w:rPr>
          <w:sz w:val="20"/>
          <w:szCs w:val="20"/>
        </w:rPr>
        <w:t xml:space="preserve"> </w:t>
      </w:r>
      <w:proofErr w:type="spellStart"/>
      <w:r w:rsidR="001C0C39" w:rsidRPr="007A6110">
        <w:rPr>
          <w:sz w:val="20"/>
          <w:szCs w:val="20"/>
        </w:rPr>
        <w:t>Uhlén</w:t>
      </w:r>
      <w:proofErr w:type="spellEnd"/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et</w:t>
      </w:r>
      <w:r w:rsidR="0065753B" w:rsidRPr="007A6110">
        <w:rPr>
          <w:sz w:val="20"/>
          <w:szCs w:val="20"/>
        </w:rPr>
        <w:t xml:space="preserve"> </w:t>
      </w:r>
      <w:r w:rsidR="001C0C39" w:rsidRPr="007A6110">
        <w:rPr>
          <w:sz w:val="20"/>
          <w:szCs w:val="20"/>
        </w:rPr>
        <w:t>al.,</w:t>
      </w:r>
      <w:r w:rsidR="0065753B" w:rsidRPr="007A6110">
        <w:rPr>
          <w:sz w:val="20"/>
          <w:szCs w:val="20"/>
        </w:rPr>
        <w:t xml:space="preserve"> </w:t>
      </w:r>
      <w:r w:rsidR="00855489" w:rsidRPr="007A6110">
        <w:rPr>
          <w:color w:val="FF0000"/>
          <w:sz w:val="20"/>
          <w:szCs w:val="20"/>
        </w:rPr>
        <w:t>[56]</w:t>
      </w:r>
      <w:r w:rsidR="001C0C39" w:rsidRPr="007A6110">
        <w:rPr>
          <w:sz w:val="20"/>
          <w:szCs w:val="20"/>
        </w:rPr>
        <w:t>.</w:t>
      </w:r>
      <w:r w:rsidR="0065753B" w:rsidRPr="007A6110">
        <w:rPr>
          <w:b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basis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expression,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genes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were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categorized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(a)</w:t>
      </w:r>
      <w:r w:rsidR="0065753B" w:rsidRPr="007A6110">
        <w:rPr>
          <w:bCs/>
          <w:sz w:val="20"/>
          <w:szCs w:val="20"/>
        </w:rPr>
        <w:t xml:space="preserve"> </w:t>
      </w:r>
      <w:r w:rsidR="00645F61" w:rsidRPr="007A6110">
        <w:rPr>
          <w:bCs/>
          <w:sz w:val="20"/>
          <w:szCs w:val="20"/>
        </w:rPr>
        <w:t>e</w:t>
      </w:r>
      <w:r w:rsidR="001C0C39" w:rsidRPr="007A6110">
        <w:rPr>
          <w:bCs/>
          <w:sz w:val="20"/>
          <w:szCs w:val="20"/>
        </w:rPr>
        <w:t>xpressed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tissues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(mRNA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detected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tissues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with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reads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per</w:t>
      </w:r>
      <w:r w:rsidR="0065753B" w:rsidRPr="007A6110">
        <w:rPr>
          <w:bCs/>
          <w:sz w:val="20"/>
          <w:szCs w:val="20"/>
        </w:rPr>
        <w:t xml:space="preserve"> </w:t>
      </w:r>
      <w:proofErr w:type="spellStart"/>
      <w:r w:rsidR="001C0C39" w:rsidRPr="007A6110">
        <w:rPr>
          <w:bCs/>
          <w:sz w:val="20"/>
          <w:szCs w:val="20"/>
        </w:rPr>
        <w:t>kilobase</w:t>
      </w:r>
      <w:proofErr w:type="spellEnd"/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per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million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(FPKM)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&gt;1,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(b)</w:t>
      </w:r>
      <w:r w:rsidR="0065753B" w:rsidRPr="007A6110">
        <w:rPr>
          <w:bCs/>
          <w:sz w:val="20"/>
          <w:szCs w:val="20"/>
        </w:rPr>
        <w:t xml:space="preserve"> </w:t>
      </w:r>
      <w:r w:rsidR="00645F61" w:rsidRPr="007A6110">
        <w:rPr>
          <w:bCs/>
          <w:sz w:val="20"/>
          <w:szCs w:val="20"/>
        </w:rPr>
        <w:t>g</w:t>
      </w:r>
      <w:r w:rsidR="001C0C39" w:rsidRPr="007A6110">
        <w:rPr>
          <w:bCs/>
          <w:sz w:val="20"/>
          <w:szCs w:val="20"/>
        </w:rPr>
        <w:t>roup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enriched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(levels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mRNA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at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least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5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times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</w:t>
      </w:r>
      <w:r w:rsidR="00CA6A83" w:rsidRPr="007A6110">
        <w:rPr>
          <w:bCs/>
          <w:sz w:val="20"/>
          <w:szCs w:val="20"/>
        </w:rPr>
        <w:t>hose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a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group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2-7</w:t>
      </w:r>
      <w:r w:rsidR="0065753B" w:rsidRPr="007A6110">
        <w:rPr>
          <w:bCs/>
          <w:sz w:val="20"/>
          <w:szCs w:val="20"/>
        </w:rPr>
        <w:t xml:space="preserve"> </w:t>
      </w:r>
      <w:r w:rsidR="00CA6A83" w:rsidRPr="007A6110">
        <w:rPr>
          <w:bCs/>
          <w:sz w:val="20"/>
          <w:szCs w:val="20"/>
        </w:rPr>
        <w:t>tissues)</w:t>
      </w:r>
      <w:r w:rsidR="001C0C39" w:rsidRPr="007A6110">
        <w:rPr>
          <w:bCs/>
          <w:sz w:val="20"/>
          <w:szCs w:val="20"/>
        </w:rPr>
        <w:t>,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(c)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Mixed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(detected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less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than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32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tissues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equally),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(c)</w:t>
      </w:r>
      <w:r w:rsidR="0065753B" w:rsidRPr="007A6110">
        <w:rPr>
          <w:bCs/>
          <w:sz w:val="20"/>
          <w:szCs w:val="20"/>
        </w:rPr>
        <w:t xml:space="preserve"> </w:t>
      </w:r>
      <w:r w:rsidR="00645F61" w:rsidRPr="007A6110">
        <w:rPr>
          <w:bCs/>
          <w:sz w:val="20"/>
          <w:szCs w:val="20"/>
        </w:rPr>
        <w:t>t</w:t>
      </w:r>
      <w:r w:rsidR="001C0C39" w:rsidRPr="007A6110">
        <w:rPr>
          <w:bCs/>
          <w:sz w:val="20"/>
          <w:szCs w:val="20"/>
        </w:rPr>
        <w:t>issue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enhanced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(detected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5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times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more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than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average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expression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tissues),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(d)</w:t>
      </w:r>
      <w:r w:rsidR="0065753B" w:rsidRPr="007A6110">
        <w:rPr>
          <w:bCs/>
          <w:sz w:val="20"/>
          <w:szCs w:val="20"/>
        </w:rPr>
        <w:t xml:space="preserve"> </w:t>
      </w:r>
      <w:r w:rsidR="00645F61" w:rsidRPr="007A6110">
        <w:rPr>
          <w:bCs/>
          <w:sz w:val="20"/>
          <w:szCs w:val="20"/>
        </w:rPr>
        <w:t>t</w:t>
      </w:r>
      <w:r w:rsidR="001C0C39" w:rsidRPr="007A6110">
        <w:rPr>
          <w:bCs/>
          <w:sz w:val="20"/>
          <w:szCs w:val="20"/>
        </w:rPr>
        <w:t>issue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enriched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(levels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mRNA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was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at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least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5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times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higher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than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those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other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tissues)</w:t>
      </w:r>
      <w:r w:rsidR="0065753B" w:rsidRPr="007A6110">
        <w:rPr>
          <w:bCs/>
          <w:sz w:val="20"/>
          <w:szCs w:val="20"/>
        </w:rPr>
        <w:t xml:space="preserve"> </w:t>
      </w:r>
      <w:r w:rsidR="00CD7F0B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CD7F0B" w:rsidRPr="007A6110">
        <w:rPr>
          <w:bCs/>
          <w:sz w:val="20"/>
          <w:szCs w:val="20"/>
        </w:rPr>
        <w:t>(e)</w:t>
      </w:r>
      <w:r w:rsidR="0065753B" w:rsidRPr="007A6110">
        <w:rPr>
          <w:bCs/>
          <w:sz w:val="20"/>
          <w:szCs w:val="20"/>
        </w:rPr>
        <w:t xml:space="preserve"> </w:t>
      </w:r>
      <w:r w:rsidR="00CD7F0B" w:rsidRPr="007A6110">
        <w:rPr>
          <w:bCs/>
          <w:sz w:val="20"/>
          <w:szCs w:val="20"/>
        </w:rPr>
        <w:t>n</w:t>
      </w:r>
      <w:r w:rsidR="001C0C39" w:rsidRPr="007A6110">
        <w:rPr>
          <w:bCs/>
          <w:sz w:val="20"/>
          <w:szCs w:val="20"/>
        </w:rPr>
        <w:t>ot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detected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(FPKM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&lt;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1)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as</w:t>
      </w:r>
      <w:r w:rsidR="0065753B" w:rsidRPr="007A6110">
        <w:rPr>
          <w:bCs/>
          <w:sz w:val="20"/>
          <w:szCs w:val="20"/>
        </w:rPr>
        <w:t xml:space="preserve"> </w:t>
      </w:r>
      <w:r w:rsidR="001C0C39" w:rsidRPr="007A6110">
        <w:rPr>
          <w:bCs/>
          <w:sz w:val="20"/>
          <w:szCs w:val="20"/>
        </w:rPr>
        <w:t>described</w:t>
      </w:r>
      <w:r w:rsidR="0065753B" w:rsidRPr="007A6110">
        <w:rPr>
          <w:bCs/>
          <w:sz w:val="20"/>
          <w:szCs w:val="20"/>
        </w:rPr>
        <w:t xml:space="preserve"> </w:t>
      </w:r>
      <w:r w:rsidR="00855489" w:rsidRPr="007A6110">
        <w:rPr>
          <w:bCs/>
          <w:color w:val="FF0000"/>
          <w:sz w:val="20"/>
          <w:szCs w:val="20"/>
        </w:rPr>
        <w:t>[56]</w:t>
      </w:r>
      <w:r w:rsidR="001C0C39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="00C53537" w:rsidRPr="007A6110">
        <w:rPr>
          <w:sz w:val="20"/>
          <w:szCs w:val="20"/>
        </w:rPr>
        <w:t>Validation</w:t>
      </w:r>
      <w:r w:rsidR="0065753B" w:rsidRPr="007A6110">
        <w:rPr>
          <w:sz w:val="20"/>
          <w:szCs w:val="20"/>
        </w:rPr>
        <w:t xml:space="preserve"> </w:t>
      </w:r>
      <w:r w:rsidR="00C53537" w:rsidRPr="007A6110">
        <w:rPr>
          <w:sz w:val="20"/>
          <w:szCs w:val="20"/>
        </w:rPr>
        <w:t>Score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(TVS)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taken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published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data</w:t>
      </w:r>
      <w:r w:rsidR="0065753B" w:rsidRPr="007A6110">
        <w:rPr>
          <w:sz w:val="20"/>
          <w:szCs w:val="20"/>
        </w:rPr>
        <w:t xml:space="preserve"> </w:t>
      </w:r>
      <w:r w:rsidR="00C53537" w:rsidRPr="007A6110">
        <w:rPr>
          <w:color w:val="FF0000"/>
          <w:sz w:val="20"/>
          <w:szCs w:val="20"/>
        </w:rPr>
        <w:t>(</w:t>
      </w:r>
      <w:r w:rsidR="00855489" w:rsidRPr="007A6110">
        <w:rPr>
          <w:color w:val="FF0000"/>
          <w:sz w:val="20"/>
          <w:szCs w:val="20"/>
        </w:rPr>
        <w:t>Supplementary</w:t>
      </w:r>
      <w:r w:rsidR="0065753B" w:rsidRPr="007A6110">
        <w:rPr>
          <w:color w:val="FF0000"/>
          <w:sz w:val="20"/>
          <w:szCs w:val="20"/>
        </w:rPr>
        <w:t xml:space="preserve"> </w:t>
      </w:r>
      <w:r w:rsidR="00855489" w:rsidRPr="007A6110">
        <w:rPr>
          <w:color w:val="FF0000"/>
          <w:sz w:val="20"/>
          <w:szCs w:val="20"/>
        </w:rPr>
        <w:t>TEXT</w:t>
      </w:r>
      <w:r w:rsidR="0065753B" w:rsidRPr="007A6110">
        <w:rPr>
          <w:color w:val="FF0000"/>
          <w:sz w:val="20"/>
          <w:szCs w:val="20"/>
        </w:rPr>
        <w:t xml:space="preserve"> </w:t>
      </w:r>
      <w:r w:rsidR="00855489" w:rsidRPr="007A6110">
        <w:rPr>
          <w:color w:val="FF0000"/>
          <w:sz w:val="20"/>
          <w:szCs w:val="20"/>
        </w:rPr>
        <w:t>T7,</w:t>
      </w:r>
      <w:r w:rsidR="0065753B" w:rsidRPr="007A6110">
        <w:rPr>
          <w:color w:val="FF0000"/>
          <w:sz w:val="20"/>
          <w:szCs w:val="20"/>
        </w:rPr>
        <w:t xml:space="preserve"> </w:t>
      </w:r>
      <w:r w:rsidR="00855489" w:rsidRPr="007A6110">
        <w:rPr>
          <w:color w:val="FF0000"/>
          <w:sz w:val="20"/>
          <w:szCs w:val="20"/>
        </w:rPr>
        <w:t>89</w:t>
      </w:r>
      <w:r w:rsidR="00C53537" w:rsidRPr="007A6110">
        <w:rPr>
          <w:color w:val="FF0000"/>
          <w:sz w:val="20"/>
          <w:szCs w:val="20"/>
        </w:rPr>
        <w:t>)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originally</w:t>
      </w:r>
      <w:r w:rsidR="0065753B" w:rsidRPr="007A6110">
        <w:rPr>
          <w:sz w:val="20"/>
          <w:szCs w:val="20"/>
        </w:rPr>
        <w:t xml:space="preserve"> </w:t>
      </w:r>
      <w:r w:rsidR="00167398" w:rsidRPr="007A6110">
        <w:rPr>
          <w:sz w:val="20"/>
          <w:szCs w:val="20"/>
        </w:rPr>
        <w:t>derived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Research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sz w:val="20"/>
          <w:szCs w:val="20"/>
        </w:rPr>
        <w:t>Crossroads</w:t>
      </w:r>
      <w:r w:rsidR="0065753B" w:rsidRPr="007A6110">
        <w:rPr>
          <w:sz w:val="20"/>
          <w:szCs w:val="20"/>
        </w:rPr>
        <w:t xml:space="preserve"> </w:t>
      </w:r>
      <w:r w:rsidR="00281DE7" w:rsidRPr="007A6110">
        <w:rPr>
          <w:i/>
          <w:color w:val="FF0000"/>
          <w:sz w:val="20"/>
          <w:szCs w:val="20"/>
        </w:rPr>
        <w:t>(</w:t>
      </w:r>
      <w:hyperlink r:id="rId14" w:history="1">
        <w:r w:rsidR="00167398" w:rsidRPr="007A6110">
          <w:rPr>
            <w:rStyle w:val="Hyperlink"/>
            <w:sz w:val="20"/>
            <w:szCs w:val="20"/>
          </w:rPr>
          <w:t>http://www.hdresearchcrossroads.org/</w:t>
        </w:r>
      </w:hyperlink>
      <w:r w:rsidR="00281DE7" w:rsidRPr="007A6110">
        <w:rPr>
          <w:rStyle w:val="HTMLCite"/>
          <w:i w:val="0"/>
          <w:sz w:val="20"/>
          <w:szCs w:val="20"/>
        </w:rPr>
        <w:t>)</w:t>
      </w:r>
      <w:r w:rsidR="00167398" w:rsidRPr="007A6110">
        <w:rPr>
          <w:rStyle w:val="HTMLCite"/>
          <w:i w:val="0"/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</w:p>
    <w:p w:rsidR="005F10D6" w:rsidRPr="007A6110" w:rsidRDefault="00855489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identify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whether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relation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between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expressions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drugs,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analyzed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their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different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tissues.</w:t>
      </w:r>
      <w:r w:rsidR="0065753B" w:rsidRPr="007A6110">
        <w:rPr>
          <w:sz w:val="20"/>
          <w:szCs w:val="20"/>
        </w:rPr>
        <w:t xml:space="preserve"> </w:t>
      </w:r>
      <w:r w:rsidR="00645F61"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="00645F61" w:rsidRPr="007A6110">
        <w:rPr>
          <w:sz w:val="20"/>
          <w:szCs w:val="20"/>
        </w:rPr>
        <w:t>d</w:t>
      </w:r>
      <w:r w:rsidRPr="007A6110">
        <w:rPr>
          <w:sz w:val="20"/>
          <w:szCs w:val="20"/>
        </w:rPr>
        <w:t>ata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downloaded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http://www.proteinatlas.org/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reported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color w:val="FF0000"/>
          <w:sz w:val="20"/>
          <w:szCs w:val="20"/>
        </w:rPr>
        <w:t>[56]</w:t>
      </w:r>
      <w:r w:rsidR="005F10D6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Number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gene/protein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625.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have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clubbed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together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group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enriched,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tissue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enhanced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tissue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enriched</w:t>
      </w:r>
      <w:r w:rsidR="0065753B" w:rsidRPr="007A6110">
        <w:rPr>
          <w:bCs/>
          <w:sz w:val="20"/>
          <w:szCs w:val="20"/>
        </w:rPr>
        <w:t xml:space="preserve"> </w:t>
      </w:r>
      <w:r w:rsidR="006A7E56" w:rsidRPr="007A6110">
        <w:rPr>
          <w:bCs/>
          <w:sz w:val="20"/>
          <w:szCs w:val="20"/>
        </w:rPr>
        <w:t>categories</w:t>
      </w:r>
      <w:r w:rsidR="00EC552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Comparing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target</w:t>
      </w:r>
      <w:r w:rsidR="006A7E56" w:rsidRPr="007A6110">
        <w:rPr>
          <w:sz w:val="20"/>
          <w:szCs w:val="20"/>
        </w:rPr>
        <w:t>s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their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expressions</w:t>
      </w:r>
      <w:r w:rsidR="00EC552B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observed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majority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(~56%)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were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t</w:t>
      </w:r>
      <w:r w:rsidR="005F10D6" w:rsidRPr="007A6110">
        <w:rPr>
          <w:sz w:val="20"/>
          <w:szCs w:val="20"/>
        </w:rPr>
        <w:t>issue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enhanced/enriched/group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enriched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indicating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which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expressed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mainly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specific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tissue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or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group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tissues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6A7E56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compared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housekeeping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(~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28%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housekeeping</w:t>
      </w:r>
      <w:r w:rsidR="0065753B" w:rsidRPr="007A6110">
        <w:rPr>
          <w:sz w:val="20"/>
          <w:szCs w:val="20"/>
        </w:rPr>
        <w:t xml:space="preserve"> </w:t>
      </w:r>
      <w:r w:rsidR="005F10D6" w:rsidRPr="007A6110">
        <w:rPr>
          <w:sz w:val="20"/>
          <w:szCs w:val="20"/>
        </w:rPr>
        <w:t>genes</w:t>
      </w:r>
      <w:r w:rsidR="00EC552B" w:rsidRPr="007A6110">
        <w:rPr>
          <w:sz w:val="20"/>
          <w:szCs w:val="20"/>
        </w:rPr>
        <w:t>)</w:t>
      </w:r>
      <w:r w:rsidR="006A7E56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On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basis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this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observation</w:t>
      </w:r>
      <w:r w:rsidR="002E57A3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concentrate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only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on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enriched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/enhanced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brains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possible</w:t>
      </w:r>
      <w:r w:rsidR="0065753B" w:rsidRPr="007A6110">
        <w:rPr>
          <w:sz w:val="20"/>
          <w:szCs w:val="20"/>
        </w:rPr>
        <w:t xml:space="preserve"> </w:t>
      </w:r>
      <w:r w:rsidR="00CA6A83"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HD</w:t>
      </w:r>
      <w:r w:rsidR="00CA6A83" w:rsidRPr="007A6110">
        <w:rPr>
          <w:sz w:val="20"/>
          <w:szCs w:val="20"/>
        </w:rPr>
        <w:t>.</w:t>
      </w:r>
    </w:p>
    <w:p w:rsidR="008E158F" w:rsidRPr="007A6110" w:rsidRDefault="008E158F" w:rsidP="007A6110">
      <w:pPr>
        <w:spacing w:line="360" w:lineRule="auto"/>
        <w:jc w:val="both"/>
        <w:rPr>
          <w:sz w:val="20"/>
          <w:szCs w:val="20"/>
        </w:rPr>
      </w:pPr>
    </w:p>
    <w:p w:rsidR="00D94056" w:rsidRPr="007A6110" w:rsidRDefault="005C7436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b/>
          <w:sz w:val="20"/>
          <w:szCs w:val="20"/>
        </w:rPr>
        <w:t>Supplementary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TEXT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T9: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sz w:val="20"/>
          <w:szCs w:val="20"/>
        </w:rPr>
        <w:t>Other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not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included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text</w:t>
      </w:r>
      <w:r w:rsidR="00C53537" w:rsidRPr="007A6110">
        <w:rPr>
          <w:sz w:val="20"/>
          <w:szCs w:val="20"/>
        </w:rPr>
        <w:t>.</w:t>
      </w:r>
    </w:p>
    <w:p w:rsidR="005C7436" w:rsidRPr="007A6110" w:rsidRDefault="005C7436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text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manuscript,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have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concentrated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proteins,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which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either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potential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ta</w:t>
      </w:r>
      <w:r w:rsidR="00D94056" w:rsidRPr="007A6110">
        <w:rPr>
          <w:sz w:val="20"/>
          <w:szCs w:val="20"/>
        </w:rPr>
        <w:t>r</w:t>
      </w:r>
      <w:r w:rsidRPr="007A6110">
        <w:rPr>
          <w:sz w:val="20"/>
          <w:szCs w:val="20"/>
        </w:rPr>
        <w:t>gets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enriched/enhanced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normal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brain.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However,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this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section</w:t>
      </w:r>
      <w:r w:rsidR="00EC552B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we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discussed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other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targets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or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without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TVS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mainly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housekeeping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possible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sz w:val="20"/>
          <w:szCs w:val="20"/>
        </w:rPr>
        <w:t>targets.</w:t>
      </w:r>
    </w:p>
    <w:p w:rsidR="005C7436" w:rsidRPr="007A6110" w:rsidRDefault="005C7436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SLC18A2,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member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solute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carrier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family18</w:t>
      </w:r>
      <w:r w:rsidR="00EC552B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also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known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VMAT2,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vesicular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monoamine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transporter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involves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accumulating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cytosolic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monoamines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vesicles.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Tetrabenazine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(TBZ),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SLC18A2/VMAT2,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first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</w:t>
      </w:r>
      <w:r w:rsidR="00F349A6" w:rsidRPr="007A6110">
        <w:rPr>
          <w:sz w:val="20"/>
          <w:szCs w:val="20"/>
        </w:rPr>
        <w:t>DA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treatment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patients,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especially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reduces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chore</w:t>
      </w:r>
      <w:r w:rsidR="00EC552B"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depleting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monoamines</w:t>
      </w:r>
      <w:r w:rsidR="0065753B" w:rsidRPr="007A6110">
        <w:rPr>
          <w:sz w:val="20"/>
          <w:szCs w:val="20"/>
        </w:rPr>
        <w:t xml:space="preserve"> </w:t>
      </w:r>
      <w:r w:rsidR="00EC552B" w:rsidRPr="007A6110">
        <w:rPr>
          <w:sz w:val="20"/>
          <w:szCs w:val="20"/>
        </w:rPr>
        <w:t>like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color w:val="FF0000"/>
          <w:sz w:val="20"/>
          <w:szCs w:val="20"/>
        </w:rPr>
        <w:t>[STR37</w:t>
      </w:r>
      <w:proofErr w:type="gramStart"/>
      <w:r w:rsidR="00D94056" w:rsidRPr="007A6110">
        <w:rPr>
          <w:color w:val="FF0000"/>
          <w:sz w:val="20"/>
          <w:szCs w:val="20"/>
        </w:rPr>
        <w:t>,STR38</w:t>
      </w:r>
      <w:proofErr w:type="gramEnd"/>
      <w:r w:rsidR="00D94056" w:rsidRPr="007A6110">
        <w:rPr>
          <w:color w:val="FF0000"/>
          <w:sz w:val="20"/>
          <w:szCs w:val="20"/>
        </w:rPr>
        <w:t>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Reorganization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various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receptors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level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resulting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toxic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effects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mutant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HTT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color w:val="FF0000"/>
          <w:sz w:val="20"/>
          <w:szCs w:val="20"/>
        </w:rPr>
        <w:t>[STR39</w:t>
      </w:r>
      <w:proofErr w:type="gramStart"/>
      <w:r w:rsidR="00D94056" w:rsidRPr="007A6110">
        <w:rPr>
          <w:color w:val="FF0000"/>
          <w:sz w:val="20"/>
          <w:szCs w:val="20"/>
        </w:rPr>
        <w:t>,STR40</w:t>
      </w:r>
      <w:proofErr w:type="gramEnd"/>
      <w:r w:rsidR="00D94056" w:rsidRPr="007A6110">
        <w:rPr>
          <w:color w:val="FF0000"/>
          <w:sz w:val="20"/>
          <w:szCs w:val="20"/>
        </w:rPr>
        <w:t>]</w:t>
      </w:r>
      <w:r w:rsidR="00D94056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SLC18A2/VMAT2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ubiquitously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expressed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32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tissues.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SLC18A2/VMAT2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26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biological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namely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transmembrane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(GO:0055085),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glucose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homeostasis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(GO:0042593),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GO:0007568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(aging),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herbicide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(GO:0009635),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post-embryonic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development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(GO:0009791),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secretion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lastRenderedPageBreak/>
        <w:t>(GO:0007269),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cocaine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(GO:0042220),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locomotory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behavior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(GO:0007626),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corticosterone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stimulus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(GO:0051412),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transmission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(GO:0007268),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starvation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(GO:0042594),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zinc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(GO:0010043),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amphetamine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(GO:0001975),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cellular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(GO:0035690),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insulin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secretion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(GO:0030073),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death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(GO:0016265),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endocytic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recycling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(GO:0032456),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monoamine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(GO:0015844),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negative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regulation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(GO:0051589),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cellular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ammonium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(GO:0071242),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toxic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substance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(GO:0009636),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serotonin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(GO:0006837),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(GO:0010038),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transport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(GO:0006836)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(GO:0042493).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SLC18A2/VMAT2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7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KEGG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namely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amphetamine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addiction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05031),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cocaine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addiction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05030),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alcoholism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05034),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vesicle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cycle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04721),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serotonergic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04726),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dopaminergic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04728)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Parkinson's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disease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05012).</w:t>
      </w:r>
    </w:p>
    <w:p w:rsidR="005C7436" w:rsidRPr="007A6110" w:rsidRDefault="005C7436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Genetic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variation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monoamine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oxidase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</w:t>
      </w:r>
      <w:r w:rsidRPr="007A6110">
        <w:rPr>
          <w:i/>
          <w:color w:val="FF0000"/>
          <w:sz w:val="20"/>
          <w:szCs w:val="20"/>
        </w:rPr>
        <w:t>MAOA</w:t>
      </w:r>
      <w:r w:rsidRPr="007A6110">
        <w:rPr>
          <w:sz w:val="20"/>
          <w:szCs w:val="20"/>
        </w:rPr>
        <w:t>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shown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modulate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AAO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color w:val="FF0000"/>
          <w:sz w:val="20"/>
          <w:szCs w:val="20"/>
        </w:rPr>
        <w:t>[STR16]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Abnormal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activities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MAOB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have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implicated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pathogenesis.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Increased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observed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well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post</w:t>
      </w:r>
      <w:r w:rsidR="00F349A6" w:rsidRPr="007A6110">
        <w:rPr>
          <w:sz w:val="20"/>
          <w:szCs w:val="20"/>
        </w:rPr>
        <w:t>-</w:t>
      </w:r>
      <w:r w:rsidRPr="007A6110">
        <w:rPr>
          <w:sz w:val="20"/>
          <w:szCs w:val="20"/>
        </w:rPr>
        <w:t>mortem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brains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patients.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Long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term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pharmacological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inhibitor</w:t>
      </w:r>
      <w:r w:rsidR="0065753B" w:rsidRPr="007A6110">
        <w:rPr>
          <w:sz w:val="20"/>
          <w:szCs w:val="20"/>
        </w:rPr>
        <w:t xml:space="preserve"> </w:t>
      </w:r>
      <w:proofErr w:type="spellStart"/>
      <w:r w:rsidR="00F349A6" w:rsidRPr="007A6110">
        <w:rPr>
          <w:sz w:val="20"/>
          <w:szCs w:val="20"/>
        </w:rPr>
        <w:t>clorgyline</w:t>
      </w:r>
      <w:proofErr w:type="spellEnd"/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YAC128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mouse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recovered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defects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serotonin,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norepinephrine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reduced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anxiety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depressive-like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behavior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color w:val="FF0000"/>
          <w:sz w:val="20"/>
          <w:szCs w:val="20"/>
        </w:rPr>
        <w:t>[</w:t>
      </w:r>
      <w:r w:rsidR="00D94056" w:rsidRPr="007A6110">
        <w:rPr>
          <w:color w:val="FF0000"/>
          <w:sz w:val="20"/>
          <w:szCs w:val="20"/>
        </w:rPr>
        <w:t>STR41]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MAOB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resulted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decreased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death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pluripotent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stem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</w:t>
      </w:r>
      <w:proofErr w:type="spellStart"/>
      <w:r w:rsidRPr="007A6110">
        <w:rPr>
          <w:sz w:val="20"/>
          <w:szCs w:val="20"/>
        </w:rPr>
        <w:t>hiPSC</w:t>
      </w:r>
      <w:proofErr w:type="spellEnd"/>
      <w:r w:rsidRPr="007A6110">
        <w:rPr>
          <w:sz w:val="20"/>
          <w:szCs w:val="20"/>
        </w:rPr>
        <w:t>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derived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from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patients</w:t>
      </w:r>
      <w:r w:rsidR="0065753B" w:rsidRPr="007A6110">
        <w:rPr>
          <w:sz w:val="20"/>
          <w:szCs w:val="20"/>
        </w:rPr>
        <w:t xml:space="preserve"> </w:t>
      </w:r>
      <w:r w:rsidR="00D94056" w:rsidRPr="007A6110">
        <w:rPr>
          <w:color w:val="FF0000"/>
          <w:sz w:val="20"/>
          <w:szCs w:val="20"/>
        </w:rPr>
        <w:t>[STR42]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result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shows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inhibitors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MAOB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could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used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potential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therapeutic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approach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F349A6" w:rsidRPr="007A6110">
        <w:rPr>
          <w:sz w:val="20"/>
          <w:szCs w:val="20"/>
        </w:rPr>
        <w:t>treatment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MAOB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10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13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respectively.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xenobiotic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</w:t>
      </w:r>
      <w:proofErr w:type="gramStart"/>
      <w:r w:rsidRPr="007A6110">
        <w:rPr>
          <w:sz w:val="20"/>
          <w:szCs w:val="20"/>
        </w:rPr>
        <w:t>:0006805</w:t>
      </w:r>
      <w:proofErr w:type="gramEnd"/>
      <w:r w:rsidRPr="007A6110">
        <w:rPr>
          <w:sz w:val="20"/>
          <w:szCs w:val="20"/>
        </w:rPr>
        <w:t>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oxidation-reduction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(GO:0055114)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small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molecule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(GO:0044281)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common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between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them.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MAOA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unique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namely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cellular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biogenic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</w:t>
      </w:r>
      <w:proofErr w:type="gramStart"/>
      <w:r w:rsidRPr="007A6110">
        <w:rPr>
          <w:sz w:val="20"/>
          <w:szCs w:val="20"/>
        </w:rPr>
        <w:t>:0006576</w:t>
      </w:r>
      <w:proofErr w:type="gramEnd"/>
      <w:r w:rsidRPr="007A6110">
        <w:rPr>
          <w:sz w:val="20"/>
          <w:szCs w:val="20"/>
        </w:rPr>
        <w:t>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transmission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(GO:0007268),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secretion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(GO:0007269),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behavior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(GO:0007610)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catabolic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(GO:0042135),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neurotransmitter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biosynthetic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(GO:0042136)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catabolic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(GO:0042420).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MAOB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unique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toxic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substance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(GO:0009636),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aluminum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(GO:0010044),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selenium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(GO:0010269),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negative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regulation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serotonin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secretion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(GO:0014063),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lipopolysaccharide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(GO:0032496),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(GO:0042493),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ethanol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(GO:0045471),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positive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regulation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process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(GO:0045964),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steroid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hormone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stimulus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(GO:0048545)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response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corticosterone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stimulus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(GO:0051412).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Even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though,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two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proteins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different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BPs,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13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common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KEGG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namely</w:t>
      </w:r>
      <w:r w:rsidR="0065753B" w:rsidRPr="007A6110">
        <w:rPr>
          <w:sz w:val="20"/>
          <w:szCs w:val="20"/>
        </w:rPr>
        <w:t xml:space="preserve"> </w:t>
      </w:r>
      <w:bookmarkStart w:id="2" w:name="OLE_LINK4"/>
      <w:r w:rsidRPr="007A6110">
        <w:rPr>
          <w:sz w:val="20"/>
          <w:szCs w:val="20"/>
        </w:rPr>
        <w:t>metabolic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(KEGG:01100),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tyrosine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(KEGG:00350),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tryptophan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(KEGG:00380),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-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cytochrome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P450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(KEGG:00982),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dopaminergic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(KEGG:04728),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cocaine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addiction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(KEGG:05030),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amphetamine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addiction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(KEGG:05031),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alcoholism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(KEGG:05034),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glycine</w:t>
      </w:r>
      <w:proofErr w:type="spellEnd"/>
      <w:r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serine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threonine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(KEGG:00260),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arginine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proline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(KEGG:00330),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histidine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(KEGG:00340),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phenylalanine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metabolism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(KEGG:00360)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serotonergic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synapse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(KEGG:04726).</w:t>
      </w:r>
      <w:bookmarkEnd w:id="2"/>
    </w:p>
    <w:p w:rsidR="0086698F" w:rsidRPr="007A6110" w:rsidRDefault="00C129F9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Activation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PRKAA1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(AMPK1/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</w:t>
      </w:r>
      <w:r w:rsidRPr="007A6110">
        <w:rPr>
          <w:color w:val="FF0000"/>
          <w:sz w:val="20"/>
          <w:szCs w:val="20"/>
        </w:rPr>
        <w:t>α</w:t>
      </w:r>
      <w:r w:rsidRPr="007A6110">
        <w:rPr>
          <w:sz w:val="20"/>
          <w:szCs w:val="20"/>
        </w:rPr>
        <w:t>1),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catalytic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subunit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5'-prime-AMP-</w:t>
      </w:r>
      <w:r w:rsidR="00C53537" w:rsidRPr="007A6110">
        <w:rPr>
          <w:sz w:val="20"/>
          <w:szCs w:val="20"/>
        </w:rPr>
        <w:t>Activated</w:t>
      </w:r>
      <w:r w:rsidR="0065753B" w:rsidRPr="007A6110">
        <w:rPr>
          <w:sz w:val="20"/>
          <w:szCs w:val="20"/>
        </w:rPr>
        <w:t xml:space="preserve"> </w:t>
      </w:r>
      <w:r w:rsidR="00C53537" w:rsidRPr="007A6110">
        <w:rPr>
          <w:sz w:val="20"/>
          <w:szCs w:val="20"/>
        </w:rPr>
        <w:t>Protein</w:t>
      </w:r>
      <w:r w:rsidR="0065753B" w:rsidRPr="007A6110">
        <w:rPr>
          <w:sz w:val="20"/>
          <w:szCs w:val="20"/>
        </w:rPr>
        <w:t xml:space="preserve"> </w:t>
      </w:r>
      <w:r w:rsidR="00C53537" w:rsidRPr="007A6110">
        <w:rPr>
          <w:sz w:val="20"/>
          <w:szCs w:val="20"/>
        </w:rPr>
        <w:t>Kinase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(AMPK)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enhanced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level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oxidative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stress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cell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primary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neurons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R6/2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mice,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striatum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two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different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mouse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AMPK1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reduced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level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oxidative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stress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neuronal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toxicity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indicating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possible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role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pathogenesis</w:t>
      </w:r>
      <w:r w:rsidR="0065753B" w:rsidRPr="007A6110">
        <w:rPr>
          <w:sz w:val="20"/>
          <w:szCs w:val="20"/>
        </w:rPr>
        <w:t xml:space="preserve"> </w:t>
      </w:r>
      <w:r w:rsidR="0086698F" w:rsidRPr="007A6110">
        <w:rPr>
          <w:color w:val="FF0000"/>
          <w:sz w:val="20"/>
          <w:szCs w:val="20"/>
        </w:rPr>
        <w:t>[STR43</w:t>
      </w:r>
      <w:r w:rsidRPr="007A6110">
        <w:rPr>
          <w:color w:val="FF0000"/>
          <w:sz w:val="20"/>
          <w:szCs w:val="20"/>
        </w:rPr>
        <w:t>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Contradictory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result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showing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lastRenderedPageBreak/>
        <w:t>activation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protects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toxicity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diverse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has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also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published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proposed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activation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early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stage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disease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may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protective.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has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further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shown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low-dose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metformin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treatment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activates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AMPK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protects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effects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mutant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HTT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color w:val="FF0000"/>
          <w:sz w:val="20"/>
          <w:szCs w:val="20"/>
        </w:rPr>
        <w:t>[</w:t>
      </w:r>
      <w:r w:rsidR="0086698F" w:rsidRPr="007A6110">
        <w:rPr>
          <w:color w:val="FF0000"/>
          <w:sz w:val="20"/>
          <w:szCs w:val="20"/>
        </w:rPr>
        <w:t>STR44-STR46]</w:t>
      </w:r>
      <w:r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PRKAA1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(AMPK1/AMPK</w:t>
      </w:r>
      <w:r w:rsidR="001003EE" w:rsidRPr="007A6110">
        <w:rPr>
          <w:color w:val="FF0000"/>
          <w:sz w:val="20"/>
          <w:szCs w:val="20"/>
        </w:rPr>
        <w:t>α</w:t>
      </w:r>
      <w:r w:rsidR="001003EE" w:rsidRPr="007A6110">
        <w:rPr>
          <w:sz w:val="20"/>
          <w:szCs w:val="20"/>
        </w:rPr>
        <w:t>1)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FDA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approved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drug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without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having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TVS.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coding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protein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ubiquitously</w:t>
      </w:r>
      <w:r w:rsidR="0065753B" w:rsidRPr="007A6110">
        <w:rPr>
          <w:sz w:val="20"/>
          <w:szCs w:val="20"/>
        </w:rPr>
        <w:t xml:space="preserve"> </w:t>
      </w:r>
      <w:r w:rsidR="001003EE" w:rsidRPr="007A6110">
        <w:rPr>
          <w:sz w:val="20"/>
          <w:szCs w:val="20"/>
        </w:rPr>
        <w:t>expressed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all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32</w:t>
      </w:r>
      <w:r w:rsidR="0065753B" w:rsidRPr="007A6110">
        <w:rPr>
          <w:sz w:val="20"/>
          <w:szCs w:val="20"/>
        </w:rPr>
        <w:t xml:space="preserve"> </w:t>
      </w:r>
      <w:r w:rsidR="005772DE" w:rsidRPr="007A6110">
        <w:rPr>
          <w:sz w:val="20"/>
          <w:szCs w:val="20"/>
        </w:rPr>
        <w:t>tissue</w:t>
      </w:r>
      <w:r w:rsidR="001003EE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PRKAA1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is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43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15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KEGG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="00DE1299" w:rsidRPr="007A6110">
        <w:rPr>
          <w:color w:val="FF0000"/>
          <w:sz w:val="20"/>
          <w:szCs w:val="20"/>
        </w:rPr>
        <w:t>(Supplementary</w:t>
      </w:r>
      <w:r w:rsidR="0065753B" w:rsidRPr="007A6110">
        <w:rPr>
          <w:color w:val="FF0000"/>
          <w:sz w:val="20"/>
          <w:szCs w:val="20"/>
        </w:rPr>
        <w:t xml:space="preserve"> </w:t>
      </w:r>
      <w:r w:rsidR="00DE1299" w:rsidRPr="007A6110">
        <w:rPr>
          <w:color w:val="FF0000"/>
          <w:sz w:val="20"/>
          <w:szCs w:val="20"/>
        </w:rPr>
        <w:t>Table</w:t>
      </w:r>
      <w:r w:rsidR="0065753B" w:rsidRPr="007A6110">
        <w:rPr>
          <w:color w:val="FF0000"/>
          <w:sz w:val="20"/>
          <w:szCs w:val="20"/>
        </w:rPr>
        <w:t xml:space="preserve"> </w:t>
      </w:r>
      <w:r w:rsidR="00DE1299" w:rsidRPr="007A6110">
        <w:rPr>
          <w:color w:val="FF0000"/>
          <w:sz w:val="20"/>
          <w:szCs w:val="20"/>
        </w:rPr>
        <w:t>S9A)</w:t>
      </w:r>
      <w:r w:rsidR="00EA3084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r w:rsidR="00EA3084" w:rsidRPr="007A6110">
        <w:rPr>
          <w:sz w:val="20"/>
          <w:szCs w:val="20"/>
        </w:rPr>
        <w:t>Relevant</w:t>
      </w:r>
      <w:r w:rsidR="0065753B" w:rsidRPr="007A6110">
        <w:rPr>
          <w:sz w:val="20"/>
          <w:szCs w:val="20"/>
        </w:rPr>
        <w:t xml:space="preserve"> </w:t>
      </w:r>
      <w:r w:rsidR="00EA3084" w:rsidRPr="007A6110">
        <w:rPr>
          <w:sz w:val="20"/>
          <w:szCs w:val="20"/>
        </w:rPr>
        <w:t>BPs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associated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pathogenesis</w:t>
      </w:r>
      <w:r w:rsidR="0065753B" w:rsidRPr="007A6110">
        <w:rPr>
          <w:sz w:val="20"/>
          <w:szCs w:val="20"/>
        </w:rPr>
        <w:t xml:space="preserve"> </w:t>
      </w:r>
      <w:proofErr w:type="gramStart"/>
      <w:r w:rsidR="003400A8" w:rsidRPr="007A6110">
        <w:rPr>
          <w:sz w:val="20"/>
          <w:szCs w:val="20"/>
        </w:rPr>
        <w:t>are</w:t>
      </w:r>
      <w:proofErr w:type="gramEnd"/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transcription,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protein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phosphorylation,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fatty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acid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biosynthetic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process,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cholesterol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biosynthetic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process,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autophagy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others.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Similarly</w:t>
      </w:r>
      <w:r w:rsidR="005772DE" w:rsidRPr="007A6110">
        <w:rPr>
          <w:sz w:val="20"/>
          <w:szCs w:val="20"/>
        </w:rPr>
        <w:t>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pathways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like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regulation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autophagy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(KEGG:</w:t>
      </w:r>
      <w:r w:rsidR="008E158F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04140),</w:t>
      </w:r>
      <w:r w:rsidR="0065753B" w:rsidRPr="007A6110">
        <w:rPr>
          <w:sz w:val="20"/>
          <w:szCs w:val="20"/>
        </w:rPr>
        <w:t xml:space="preserve"> </w:t>
      </w:r>
      <w:proofErr w:type="spellStart"/>
      <w:r w:rsidR="003400A8" w:rsidRPr="007A6110">
        <w:rPr>
          <w:sz w:val="20"/>
          <w:szCs w:val="20"/>
        </w:rPr>
        <w:t>mTOR</w:t>
      </w:r>
      <w:proofErr w:type="spellEnd"/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signaling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pathway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(KEGG:</w:t>
      </w:r>
      <w:r w:rsidR="008E158F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04150),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Insulin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signaling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pathway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(KEGG:</w:t>
      </w:r>
      <w:r w:rsidR="008E158F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04910)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other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color w:val="FF0000"/>
          <w:sz w:val="20"/>
          <w:szCs w:val="20"/>
        </w:rPr>
        <w:t>(Supplementary</w:t>
      </w:r>
      <w:r w:rsidR="0065753B" w:rsidRPr="007A6110">
        <w:rPr>
          <w:color w:val="FF0000"/>
          <w:sz w:val="20"/>
          <w:szCs w:val="20"/>
        </w:rPr>
        <w:t xml:space="preserve"> </w:t>
      </w:r>
      <w:r w:rsidR="003400A8" w:rsidRPr="007A6110">
        <w:rPr>
          <w:color w:val="FF0000"/>
          <w:sz w:val="20"/>
          <w:szCs w:val="20"/>
        </w:rPr>
        <w:t>Table</w:t>
      </w:r>
      <w:r w:rsidR="0065753B" w:rsidRPr="007A6110">
        <w:rPr>
          <w:color w:val="FF0000"/>
          <w:sz w:val="20"/>
          <w:szCs w:val="20"/>
        </w:rPr>
        <w:t xml:space="preserve"> </w:t>
      </w:r>
      <w:r w:rsidR="003400A8" w:rsidRPr="007A6110">
        <w:rPr>
          <w:color w:val="FF0000"/>
          <w:sz w:val="20"/>
          <w:szCs w:val="20"/>
        </w:rPr>
        <w:t>S9A)</w:t>
      </w:r>
      <w:r w:rsidR="0065753B" w:rsidRPr="007A6110">
        <w:rPr>
          <w:b/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known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involve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HD.</w:t>
      </w:r>
      <w:r w:rsidR="0065753B" w:rsidRPr="007A6110">
        <w:rPr>
          <w:b/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This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analysis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shows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PRKAA1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(AMPK1/AMPK</w:t>
      </w:r>
      <w:r w:rsidR="003400A8" w:rsidRPr="007A6110">
        <w:rPr>
          <w:color w:val="FF0000"/>
          <w:sz w:val="20"/>
          <w:szCs w:val="20"/>
        </w:rPr>
        <w:t>α</w:t>
      </w:r>
      <w:r w:rsidR="003400A8" w:rsidRPr="007A6110">
        <w:rPr>
          <w:sz w:val="20"/>
          <w:szCs w:val="20"/>
        </w:rPr>
        <w:t>1)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could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be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a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possible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target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3400A8" w:rsidRPr="007A6110">
        <w:rPr>
          <w:sz w:val="20"/>
          <w:szCs w:val="20"/>
        </w:rPr>
        <w:t>treatment.</w:t>
      </w:r>
      <w:r w:rsidR="0065753B" w:rsidRPr="007A6110">
        <w:rPr>
          <w:sz w:val="20"/>
          <w:szCs w:val="20"/>
        </w:rPr>
        <w:t xml:space="preserve"> </w:t>
      </w:r>
    </w:p>
    <w:p w:rsidR="002B1AA7" w:rsidRPr="007A6110" w:rsidRDefault="00060081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sz w:val="20"/>
          <w:szCs w:val="20"/>
        </w:rPr>
        <w:t>There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are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several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reports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to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show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that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inhibitors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histone</w:t>
      </w:r>
      <w:r w:rsidR="0065753B" w:rsidRPr="007A6110">
        <w:rPr>
          <w:sz w:val="20"/>
          <w:szCs w:val="20"/>
        </w:rPr>
        <w:t xml:space="preserve"> </w:t>
      </w:r>
      <w:proofErr w:type="spellStart"/>
      <w:r w:rsidRPr="007A6110">
        <w:rPr>
          <w:sz w:val="20"/>
          <w:szCs w:val="20"/>
        </w:rPr>
        <w:t>deacetylase</w:t>
      </w:r>
      <w:proofErr w:type="spellEnd"/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improve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pathogenesis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different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R6/2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mice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treated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with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HDAC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inhibitors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specific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for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HDAC3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HDAC1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recover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gene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expression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phenotype.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fly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such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treatment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improves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the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degeneration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eye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observed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model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color w:val="FF0000"/>
          <w:sz w:val="20"/>
          <w:szCs w:val="20"/>
        </w:rPr>
        <w:t>[STR36]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indicating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role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of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HDAC3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HDAC1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HD</w:t>
      </w:r>
      <w:r w:rsidR="0065753B" w:rsidRPr="007A6110">
        <w:rPr>
          <w:sz w:val="20"/>
          <w:szCs w:val="20"/>
        </w:rPr>
        <w:t xml:space="preserve"> </w:t>
      </w:r>
      <w:r w:rsidR="0016488C" w:rsidRPr="007A6110">
        <w:rPr>
          <w:sz w:val="20"/>
          <w:szCs w:val="20"/>
        </w:rPr>
        <w:t>pathogenesis.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This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observation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has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been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confirmed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in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many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other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studies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color w:val="FF0000"/>
          <w:sz w:val="20"/>
          <w:szCs w:val="20"/>
        </w:rPr>
        <w:t>[</w:t>
      </w:r>
      <w:r w:rsidR="001A6D1D" w:rsidRPr="007A6110">
        <w:rPr>
          <w:color w:val="FF0000"/>
          <w:sz w:val="20"/>
          <w:szCs w:val="20"/>
        </w:rPr>
        <w:t>STR47</w:t>
      </w:r>
      <w:r w:rsidR="001768A5" w:rsidRPr="007A6110">
        <w:rPr>
          <w:color w:val="FF0000"/>
          <w:sz w:val="20"/>
          <w:szCs w:val="20"/>
        </w:rPr>
        <w:t>-</w:t>
      </w:r>
      <w:r w:rsidR="0065753B" w:rsidRPr="007A6110">
        <w:rPr>
          <w:color w:val="FF0000"/>
          <w:sz w:val="20"/>
          <w:szCs w:val="20"/>
        </w:rPr>
        <w:t xml:space="preserve"> </w:t>
      </w:r>
      <w:r w:rsidR="001768A5" w:rsidRPr="007A6110">
        <w:rPr>
          <w:color w:val="FF0000"/>
          <w:sz w:val="20"/>
          <w:szCs w:val="20"/>
        </w:rPr>
        <w:t>STR49</w:t>
      </w:r>
      <w:r w:rsidR="001A6D1D" w:rsidRPr="007A6110">
        <w:rPr>
          <w:color w:val="FF0000"/>
          <w:sz w:val="20"/>
          <w:szCs w:val="20"/>
        </w:rPr>
        <w:t>]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and</w:t>
      </w:r>
      <w:r w:rsidR="0065753B" w:rsidRPr="007A6110">
        <w:rPr>
          <w:sz w:val="20"/>
          <w:szCs w:val="20"/>
        </w:rPr>
        <w:t xml:space="preserve"> </w:t>
      </w:r>
      <w:r w:rsidR="003F1441" w:rsidRPr="007A6110">
        <w:rPr>
          <w:sz w:val="20"/>
          <w:szCs w:val="20"/>
        </w:rPr>
        <w:t>reviewed</w:t>
      </w:r>
      <w:r w:rsidR="0065753B" w:rsidRPr="007A6110">
        <w:rPr>
          <w:sz w:val="20"/>
          <w:szCs w:val="20"/>
        </w:rPr>
        <w:t xml:space="preserve"> </w:t>
      </w:r>
      <w:r w:rsidR="0096283E" w:rsidRPr="007A6110">
        <w:rPr>
          <w:color w:val="FF0000"/>
          <w:sz w:val="20"/>
          <w:szCs w:val="20"/>
        </w:rPr>
        <w:t>[</w:t>
      </w:r>
      <w:r w:rsidR="001A6D1D" w:rsidRPr="007A6110">
        <w:rPr>
          <w:color w:val="FF0000"/>
          <w:sz w:val="20"/>
          <w:szCs w:val="20"/>
        </w:rPr>
        <w:t>STR49</w:t>
      </w:r>
      <w:r w:rsidR="001768A5" w:rsidRPr="007A6110">
        <w:rPr>
          <w:color w:val="FF0000"/>
          <w:sz w:val="20"/>
          <w:szCs w:val="20"/>
        </w:rPr>
        <w:t>]</w:t>
      </w:r>
      <w:r w:rsidR="0096283E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HDAC2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was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identified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5772DE" w:rsidRPr="007A6110">
        <w:rPr>
          <w:bCs/>
          <w:sz w:val="20"/>
          <w:szCs w:val="20"/>
        </w:rPr>
        <w:t>g</w:t>
      </w:r>
      <w:r w:rsidR="0096283E" w:rsidRPr="007A6110">
        <w:rPr>
          <w:bCs/>
          <w:sz w:val="20"/>
          <w:szCs w:val="20"/>
        </w:rPr>
        <w:t>enome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wide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screen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as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modulator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color w:val="FF0000"/>
          <w:sz w:val="20"/>
          <w:szCs w:val="20"/>
        </w:rPr>
        <w:t>[37]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expression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was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decreased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caudate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color w:val="FF0000"/>
          <w:sz w:val="20"/>
          <w:szCs w:val="20"/>
        </w:rPr>
        <w:t>(Supplementary</w:t>
      </w:r>
      <w:r w:rsidR="0065753B" w:rsidRPr="007A6110">
        <w:rPr>
          <w:bCs/>
          <w:color w:val="FF0000"/>
          <w:sz w:val="20"/>
          <w:szCs w:val="20"/>
        </w:rPr>
        <w:t xml:space="preserve"> </w:t>
      </w:r>
      <w:r w:rsidR="0096283E" w:rsidRPr="007A6110">
        <w:rPr>
          <w:bCs/>
          <w:color w:val="FF0000"/>
          <w:sz w:val="20"/>
          <w:szCs w:val="20"/>
        </w:rPr>
        <w:t>Table</w:t>
      </w:r>
      <w:r w:rsidR="0065753B" w:rsidRPr="007A6110">
        <w:rPr>
          <w:bCs/>
          <w:color w:val="FF0000"/>
          <w:sz w:val="20"/>
          <w:szCs w:val="20"/>
        </w:rPr>
        <w:t xml:space="preserve"> </w:t>
      </w:r>
      <w:r w:rsidR="0096283E" w:rsidRPr="007A6110">
        <w:rPr>
          <w:bCs/>
          <w:color w:val="FF0000"/>
          <w:sz w:val="20"/>
          <w:szCs w:val="20"/>
        </w:rPr>
        <w:t>S5A)</w:t>
      </w:r>
      <w:r w:rsidR="0096283E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Decrease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HDAC2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by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inhibitor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protects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toxic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effects</w:t>
      </w:r>
      <w:r w:rsidR="0065753B" w:rsidRPr="007A6110">
        <w:rPr>
          <w:bCs/>
          <w:sz w:val="20"/>
          <w:szCs w:val="20"/>
        </w:rPr>
        <w:t xml:space="preserve"> </w:t>
      </w:r>
      <w:r w:rsidR="005772DE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5772DE" w:rsidRPr="007A6110">
        <w:rPr>
          <w:bCs/>
          <w:sz w:val="20"/>
          <w:szCs w:val="20"/>
        </w:rPr>
        <w:t>mutant</w:t>
      </w:r>
      <w:r w:rsidR="0065753B" w:rsidRPr="007A6110">
        <w:rPr>
          <w:bCs/>
          <w:sz w:val="20"/>
          <w:szCs w:val="20"/>
        </w:rPr>
        <w:t xml:space="preserve"> </w:t>
      </w:r>
      <w:r w:rsidR="005772DE" w:rsidRPr="007A6110">
        <w:rPr>
          <w:bCs/>
          <w:sz w:val="20"/>
          <w:szCs w:val="20"/>
        </w:rPr>
        <w:t>HTT</w:t>
      </w:r>
      <w:r w:rsidR="0065753B" w:rsidRPr="007A6110">
        <w:rPr>
          <w:bCs/>
          <w:sz w:val="20"/>
          <w:szCs w:val="20"/>
        </w:rPr>
        <w:t xml:space="preserve"> </w:t>
      </w:r>
      <w:r w:rsidR="001768A5" w:rsidRPr="007A6110">
        <w:rPr>
          <w:bCs/>
          <w:color w:val="FF0000"/>
          <w:sz w:val="20"/>
          <w:szCs w:val="20"/>
        </w:rPr>
        <w:t>[51]</w:t>
      </w:r>
      <w:r w:rsidR="0096283E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HDAC1,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HDAC2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HDAC3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are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associated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with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31,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37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17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biological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processes</w:t>
      </w:r>
      <w:r w:rsidR="0065753B" w:rsidRPr="007A6110">
        <w:rPr>
          <w:bCs/>
          <w:sz w:val="20"/>
          <w:szCs w:val="20"/>
        </w:rPr>
        <w:t xml:space="preserve"> </w:t>
      </w:r>
      <w:r w:rsidR="0096283E" w:rsidRPr="007A6110">
        <w:rPr>
          <w:bCs/>
          <w:sz w:val="20"/>
          <w:szCs w:val="20"/>
        </w:rPr>
        <w:t>respectively</w:t>
      </w:r>
      <w:r w:rsidR="000459E1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BPs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include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chromatin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modification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(GO</w:t>
      </w:r>
      <w:proofErr w:type="gramStart"/>
      <w:r w:rsidR="000459E1" w:rsidRPr="007A6110">
        <w:rPr>
          <w:bCs/>
          <w:sz w:val="20"/>
          <w:szCs w:val="20"/>
        </w:rPr>
        <w:t>:0016568</w:t>
      </w:r>
      <w:proofErr w:type="gramEnd"/>
      <w:r w:rsidR="000459E1" w:rsidRPr="007A6110">
        <w:rPr>
          <w:bCs/>
          <w:sz w:val="20"/>
          <w:szCs w:val="20"/>
        </w:rPr>
        <w:t>),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transcription,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DNA-dependent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(GO:0006351),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negative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regulation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cell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cycle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(GO:0045786)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proofErr w:type="spellStart"/>
      <w:r w:rsidR="000459E1" w:rsidRPr="007A6110">
        <w:rPr>
          <w:bCs/>
          <w:sz w:val="20"/>
          <w:szCs w:val="20"/>
        </w:rPr>
        <w:t>neurotrophin</w:t>
      </w:r>
      <w:proofErr w:type="spellEnd"/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TRK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receptor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signaling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pathway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(GO:0048011)</w:t>
      </w:r>
      <w:r w:rsidR="0065753B" w:rsidRPr="007A6110">
        <w:rPr>
          <w:bCs/>
          <w:sz w:val="20"/>
          <w:szCs w:val="20"/>
        </w:rPr>
        <w:t xml:space="preserve"> </w:t>
      </w:r>
      <w:r w:rsidR="005772DE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cell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cycle,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known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to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involve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HD</w:t>
      </w:r>
      <w:r w:rsidR="0065753B" w:rsidRPr="007A6110">
        <w:rPr>
          <w:bCs/>
          <w:sz w:val="20"/>
          <w:szCs w:val="20"/>
        </w:rPr>
        <w:t xml:space="preserve"> </w:t>
      </w:r>
      <w:r w:rsidR="000459E1" w:rsidRPr="007A6110">
        <w:rPr>
          <w:bCs/>
          <w:sz w:val="20"/>
          <w:szCs w:val="20"/>
        </w:rPr>
        <w:t>pathogenesis.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HDAC1,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HDAC2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HDAC3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are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associated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with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13,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11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3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KEGG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pathways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respectively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color w:val="FF0000"/>
          <w:sz w:val="20"/>
          <w:szCs w:val="20"/>
        </w:rPr>
        <w:t>(Supplementary</w:t>
      </w:r>
      <w:r w:rsidR="0065753B" w:rsidRPr="007A6110">
        <w:rPr>
          <w:bCs/>
          <w:color w:val="FF0000"/>
          <w:sz w:val="20"/>
          <w:szCs w:val="20"/>
        </w:rPr>
        <w:t xml:space="preserve"> </w:t>
      </w:r>
      <w:r w:rsidR="00DE4363" w:rsidRPr="007A6110">
        <w:rPr>
          <w:bCs/>
          <w:color w:val="FF0000"/>
          <w:sz w:val="20"/>
          <w:szCs w:val="20"/>
        </w:rPr>
        <w:t>Table</w:t>
      </w:r>
      <w:r w:rsidR="0065753B" w:rsidRPr="007A6110">
        <w:rPr>
          <w:bCs/>
          <w:color w:val="FF0000"/>
          <w:sz w:val="20"/>
          <w:szCs w:val="20"/>
        </w:rPr>
        <w:t xml:space="preserve"> </w:t>
      </w:r>
      <w:r w:rsidR="00DE4363" w:rsidRPr="007A6110">
        <w:rPr>
          <w:bCs/>
          <w:color w:val="FF0000"/>
          <w:sz w:val="20"/>
          <w:szCs w:val="20"/>
        </w:rPr>
        <w:t>9A)</w:t>
      </w:r>
      <w:r w:rsidR="00DE4363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These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genes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ubiquitously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express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normal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tissues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altered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expression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has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been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observed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in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HD.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HDC1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had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TVS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4;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HDAC2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HDAC3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had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TVS</w:t>
      </w:r>
      <w:r w:rsidR="0065753B" w:rsidRPr="007A6110">
        <w:rPr>
          <w:bCs/>
          <w:sz w:val="20"/>
          <w:szCs w:val="20"/>
        </w:rPr>
        <w:t xml:space="preserve"> </w:t>
      </w:r>
      <w:r w:rsidR="00DE4363" w:rsidRPr="007A6110">
        <w:rPr>
          <w:bCs/>
          <w:sz w:val="20"/>
          <w:szCs w:val="20"/>
        </w:rPr>
        <w:t>1.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All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3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genes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are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known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targets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FDA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approved</w:t>
      </w:r>
      <w:r w:rsidR="0065753B" w:rsidRPr="007A6110">
        <w:rPr>
          <w:bCs/>
          <w:sz w:val="20"/>
          <w:szCs w:val="20"/>
        </w:rPr>
        <w:t xml:space="preserve"> </w:t>
      </w:r>
      <w:r w:rsidR="00B715F5" w:rsidRPr="007A6110">
        <w:rPr>
          <w:bCs/>
          <w:sz w:val="20"/>
          <w:szCs w:val="20"/>
        </w:rPr>
        <w:t>drug.</w:t>
      </w:r>
    </w:p>
    <w:p w:rsidR="002B1AA7" w:rsidRPr="007A6110" w:rsidRDefault="00B715F5" w:rsidP="007A6110">
      <w:pPr>
        <w:spacing w:line="360" w:lineRule="auto"/>
        <w:jc w:val="both"/>
        <w:rPr>
          <w:b/>
          <w:bCs/>
          <w:sz w:val="20"/>
          <w:szCs w:val="20"/>
        </w:rPr>
      </w:pPr>
      <w:r w:rsidRPr="007A6110">
        <w:rPr>
          <w:bCs/>
          <w:sz w:val="20"/>
          <w:szCs w:val="20"/>
        </w:rPr>
        <w:t>HTT</w:t>
      </w:r>
      <w:r w:rsidR="0065753B" w:rsidRPr="007A6110">
        <w:rPr>
          <w:bCs/>
          <w:sz w:val="20"/>
          <w:szCs w:val="20"/>
        </w:rPr>
        <w:t xml:space="preserve"> </w:t>
      </w:r>
      <w:r w:rsidRPr="007A6110">
        <w:rPr>
          <w:bCs/>
          <w:sz w:val="20"/>
          <w:szCs w:val="20"/>
        </w:rPr>
        <w:t>had</w:t>
      </w:r>
      <w:r w:rsidR="0065753B" w:rsidRPr="007A6110">
        <w:rPr>
          <w:bCs/>
          <w:sz w:val="20"/>
          <w:szCs w:val="20"/>
        </w:rPr>
        <w:t xml:space="preserve"> </w:t>
      </w:r>
      <w:r w:rsidRPr="007A6110">
        <w:rPr>
          <w:bCs/>
          <w:sz w:val="20"/>
          <w:szCs w:val="20"/>
        </w:rPr>
        <w:t>TVS</w:t>
      </w:r>
      <w:r w:rsidR="0065753B" w:rsidRPr="007A6110">
        <w:rPr>
          <w:bCs/>
          <w:sz w:val="20"/>
          <w:szCs w:val="20"/>
        </w:rPr>
        <w:t xml:space="preserve"> </w:t>
      </w:r>
      <w:r w:rsidRPr="007A6110">
        <w:rPr>
          <w:bCs/>
          <w:sz w:val="20"/>
          <w:szCs w:val="20"/>
        </w:rPr>
        <w:t>4.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Allele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specific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down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regulation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the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mutant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i/>
          <w:color w:val="FF0000"/>
          <w:sz w:val="20"/>
          <w:szCs w:val="20"/>
        </w:rPr>
        <w:t>HTT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by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antisense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modified</w:t>
      </w:r>
      <w:r w:rsidR="0065753B" w:rsidRPr="007A6110">
        <w:rPr>
          <w:bCs/>
          <w:sz w:val="20"/>
          <w:szCs w:val="20"/>
        </w:rPr>
        <w:t xml:space="preserve"> </w:t>
      </w:r>
      <w:proofErr w:type="spellStart"/>
      <w:r w:rsidR="005C7436" w:rsidRPr="007A6110">
        <w:rPr>
          <w:bCs/>
          <w:sz w:val="20"/>
          <w:szCs w:val="20"/>
        </w:rPr>
        <w:t>oligo</w:t>
      </w:r>
      <w:proofErr w:type="spellEnd"/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has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been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used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to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modify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pathogenesis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of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sz w:val="20"/>
          <w:szCs w:val="20"/>
        </w:rPr>
        <w:t>HD</w:t>
      </w:r>
      <w:r w:rsidR="0065753B" w:rsidRPr="007A6110">
        <w:rPr>
          <w:bCs/>
          <w:sz w:val="20"/>
          <w:szCs w:val="20"/>
        </w:rPr>
        <w:t xml:space="preserve"> </w:t>
      </w:r>
      <w:r w:rsidR="005C7436" w:rsidRPr="007A6110">
        <w:rPr>
          <w:bCs/>
          <w:color w:val="FF0000"/>
          <w:sz w:val="20"/>
          <w:szCs w:val="20"/>
        </w:rPr>
        <w:t>[STR24,</w:t>
      </w:r>
      <w:r w:rsidR="0065753B" w:rsidRPr="007A6110">
        <w:rPr>
          <w:bCs/>
          <w:color w:val="FF0000"/>
          <w:sz w:val="20"/>
          <w:szCs w:val="20"/>
        </w:rPr>
        <w:t xml:space="preserve"> </w:t>
      </w:r>
      <w:r w:rsidR="00D06D7F" w:rsidRPr="007A6110">
        <w:rPr>
          <w:bCs/>
          <w:color w:val="FF0000"/>
          <w:sz w:val="20"/>
          <w:szCs w:val="20"/>
        </w:rPr>
        <w:t>STR52</w:t>
      </w:r>
      <w:r w:rsidR="0065753B" w:rsidRPr="007A6110">
        <w:rPr>
          <w:bCs/>
          <w:sz w:val="20"/>
          <w:szCs w:val="20"/>
        </w:rPr>
        <w:t xml:space="preserve"> </w:t>
      </w:r>
      <w:r w:rsidR="00D06D7F" w:rsidRPr="007A6110">
        <w:rPr>
          <w:bCs/>
          <w:sz w:val="20"/>
          <w:szCs w:val="20"/>
        </w:rPr>
        <w:t>and</w:t>
      </w:r>
      <w:r w:rsidR="0065753B" w:rsidRPr="007A6110">
        <w:rPr>
          <w:bCs/>
          <w:sz w:val="20"/>
          <w:szCs w:val="20"/>
        </w:rPr>
        <w:t xml:space="preserve"> </w:t>
      </w:r>
      <w:r w:rsidR="00D06D7F" w:rsidRPr="007A6110">
        <w:rPr>
          <w:bCs/>
          <w:color w:val="FF0000"/>
          <w:sz w:val="20"/>
          <w:szCs w:val="20"/>
        </w:rPr>
        <w:t>STR53]</w:t>
      </w:r>
      <w:r w:rsidR="00462D4A" w:rsidRPr="007A6110">
        <w:rPr>
          <w:sz w:val="20"/>
          <w:szCs w:val="20"/>
        </w:rPr>
        <w:t>.</w:t>
      </w:r>
    </w:p>
    <w:p w:rsidR="00462D4A" w:rsidRPr="007A6110" w:rsidRDefault="00462D4A" w:rsidP="007A6110">
      <w:pPr>
        <w:spacing w:line="360" w:lineRule="auto"/>
        <w:jc w:val="both"/>
        <w:rPr>
          <w:sz w:val="20"/>
          <w:szCs w:val="20"/>
        </w:rPr>
      </w:pPr>
    </w:p>
    <w:p w:rsidR="00D94056" w:rsidRPr="007A6110" w:rsidRDefault="00D94056" w:rsidP="007A6110">
      <w:pPr>
        <w:spacing w:line="360" w:lineRule="auto"/>
        <w:jc w:val="center"/>
        <w:rPr>
          <w:b/>
          <w:sz w:val="20"/>
          <w:szCs w:val="20"/>
        </w:rPr>
      </w:pPr>
      <w:r w:rsidRPr="007A6110">
        <w:rPr>
          <w:b/>
          <w:sz w:val="20"/>
          <w:szCs w:val="20"/>
        </w:rPr>
        <w:t>References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for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the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Supplementary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TEXT</w:t>
      </w:r>
    </w:p>
    <w:p w:rsidR="00D94056" w:rsidRPr="007A6110" w:rsidRDefault="00D94056" w:rsidP="007A6110">
      <w:pPr>
        <w:spacing w:line="360" w:lineRule="auto"/>
        <w:jc w:val="both"/>
        <w:rPr>
          <w:b/>
          <w:sz w:val="20"/>
          <w:szCs w:val="20"/>
        </w:rPr>
      </w:pPr>
      <w:r w:rsidRPr="007A6110">
        <w:rPr>
          <w:b/>
          <w:sz w:val="20"/>
          <w:szCs w:val="20"/>
        </w:rPr>
        <w:t>Reference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number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within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third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bracket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is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same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as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that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of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in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the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main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text</w:t>
      </w:r>
    </w:p>
    <w:p w:rsidR="00D94056" w:rsidRPr="007A6110" w:rsidRDefault="00D94056" w:rsidP="007A6110">
      <w:pPr>
        <w:spacing w:line="360" w:lineRule="auto"/>
        <w:jc w:val="both"/>
        <w:rPr>
          <w:b/>
          <w:sz w:val="20"/>
          <w:szCs w:val="20"/>
        </w:rPr>
      </w:pPr>
      <w:r w:rsidRPr="007A6110">
        <w:rPr>
          <w:b/>
          <w:sz w:val="20"/>
          <w:szCs w:val="20"/>
        </w:rPr>
        <w:t>Additional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references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(not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included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in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the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main</w:t>
      </w:r>
      <w:r w:rsidR="0065753B" w:rsidRPr="007A6110">
        <w:rPr>
          <w:b/>
          <w:sz w:val="20"/>
          <w:szCs w:val="20"/>
        </w:rPr>
        <w:t xml:space="preserve"> </w:t>
      </w:r>
      <w:r w:rsidRPr="007A6110">
        <w:rPr>
          <w:b/>
          <w:sz w:val="20"/>
          <w:szCs w:val="20"/>
        </w:rPr>
        <w:t>text)</w:t>
      </w:r>
      <w:r w:rsidR="0065753B" w:rsidRPr="007A6110">
        <w:rPr>
          <w:b/>
          <w:sz w:val="20"/>
          <w:szCs w:val="20"/>
        </w:rPr>
        <w:t xml:space="preserve"> </w:t>
      </w:r>
      <w:r w:rsidR="00F349A6" w:rsidRPr="007A6110">
        <w:rPr>
          <w:b/>
          <w:sz w:val="20"/>
          <w:szCs w:val="20"/>
        </w:rPr>
        <w:t>are</w:t>
      </w:r>
      <w:r w:rsidR="0065753B" w:rsidRPr="007A6110">
        <w:rPr>
          <w:b/>
          <w:sz w:val="20"/>
          <w:szCs w:val="20"/>
        </w:rPr>
        <w:t xml:space="preserve"> </w:t>
      </w:r>
      <w:r w:rsidR="00F349A6" w:rsidRPr="007A6110">
        <w:rPr>
          <w:b/>
          <w:sz w:val="20"/>
          <w:szCs w:val="20"/>
        </w:rPr>
        <w:t>denoted</w:t>
      </w:r>
      <w:r w:rsidR="0065753B" w:rsidRPr="007A6110">
        <w:rPr>
          <w:b/>
          <w:sz w:val="20"/>
          <w:szCs w:val="20"/>
        </w:rPr>
        <w:t xml:space="preserve"> </w:t>
      </w:r>
      <w:r w:rsidR="00F349A6" w:rsidRPr="007A6110">
        <w:rPr>
          <w:b/>
          <w:sz w:val="20"/>
          <w:szCs w:val="20"/>
        </w:rPr>
        <w:t>by</w:t>
      </w:r>
      <w:r w:rsidR="0065753B" w:rsidRPr="007A6110">
        <w:rPr>
          <w:b/>
          <w:sz w:val="20"/>
          <w:szCs w:val="20"/>
        </w:rPr>
        <w:t xml:space="preserve"> </w:t>
      </w:r>
      <w:r w:rsidR="00F349A6" w:rsidRPr="007A6110">
        <w:rPr>
          <w:b/>
          <w:sz w:val="20"/>
          <w:szCs w:val="20"/>
        </w:rPr>
        <w:t>“STR”</w:t>
      </w:r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sz w:val="20"/>
          <w:szCs w:val="20"/>
        </w:rPr>
        <w:t>STR1.</w:t>
      </w:r>
      <w:r w:rsidR="0065753B" w:rsidRPr="007A6110">
        <w:rPr>
          <w:sz w:val="20"/>
          <w:szCs w:val="20"/>
        </w:rPr>
        <w:t xml:space="preserve"> </w:t>
      </w:r>
      <w:hyperlink r:id="rId15" w:history="1"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Raychaudhuri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Sinha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Mukhopadhyay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Bhattacharyya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NP.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HYPK,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interacting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protein,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reduces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aggregates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apoptosis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induced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N-terminal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with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40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glutamines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Neuro2a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cells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exhibits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chaperone-like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activity.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</w:t>
        </w:r>
        <w:r w:rsidR="008E158F"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2008</w:t>
        </w:r>
        <w:r w:rsidR="008E158F" w:rsidRPr="007A6110">
          <w:rPr>
            <w:rStyle w:val="Hyperlink"/>
            <w:bCs/>
            <w:sz w:val="20"/>
            <w:szCs w:val="20"/>
          </w:rPr>
          <w:t>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17: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240-255.</w:t>
        </w:r>
        <w:proofErr w:type="gramEnd"/>
      </w:hyperlink>
    </w:p>
    <w:p w:rsid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STR2.</w:t>
      </w:r>
      <w:r w:rsidR="0065753B" w:rsidRPr="007A6110">
        <w:rPr>
          <w:bCs/>
          <w:sz w:val="20"/>
          <w:szCs w:val="20"/>
        </w:rPr>
        <w:t xml:space="preserve"> </w:t>
      </w:r>
      <w:hyperlink r:id="rId16" w:history="1"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Butland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Sanders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Schmidt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Riechers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Martin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="008E158F" w:rsidRPr="007A6110">
          <w:rPr>
            <w:rStyle w:val="Hyperlink"/>
            <w:bCs/>
            <w:sz w:val="20"/>
            <w:szCs w:val="20"/>
          </w:rPr>
          <w:t>al.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palmitoyl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acyltransferase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HIP14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shares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high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proportion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interactors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with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Pr="007A6110">
          <w:rPr>
            <w:rStyle w:val="Hyperlink"/>
            <w:bCs/>
            <w:sz w:val="20"/>
            <w:szCs w:val="20"/>
          </w:rPr>
          <w:t>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implications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role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pathogenesis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2014;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23:</w:t>
        </w:r>
        <w:r w:rsidR="008E158F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4142-4160</w:t>
        </w:r>
        <w:r w:rsidR="008E158F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STR3.</w:t>
      </w:r>
      <w:r w:rsidR="0065753B" w:rsidRPr="007A6110">
        <w:rPr>
          <w:bCs/>
          <w:sz w:val="20"/>
          <w:szCs w:val="20"/>
        </w:rPr>
        <w:t xml:space="preserve"> </w:t>
      </w:r>
      <w:hyperlink r:id="rId17" w:history="1">
        <w:r w:rsidRPr="007A6110">
          <w:rPr>
            <w:rStyle w:val="Hyperlink"/>
            <w:bCs/>
            <w:sz w:val="20"/>
            <w:szCs w:val="20"/>
          </w:rPr>
          <w:t>Morley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JF,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Brignull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Weyers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Morimoto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RI.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threshold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polyglutamine</w:t>
        </w:r>
        <w:proofErr w:type="spellEnd"/>
        <w:r w:rsidRPr="007A6110">
          <w:rPr>
            <w:rStyle w:val="Hyperlink"/>
            <w:bCs/>
            <w:sz w:val="20"/>
            <w:szCs w:val="20"/>
          </w:rPr>
          <w:t>-expansion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protein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aggregation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cellular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toxicity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dynamic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influenced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Caenorhabditis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elegans.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Natl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Acad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USA.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2002;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99: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10417-10422.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lastRenderedPageBreak/>
        <w:t>STR4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18" w:history="1">
        <w:r w:rsidRPr="007A6110">
          <w:rPr>
            <w:rStyle w:val="Hyperlink"/>
            <w:bCs/>
            <w:sz w:val="20"/>
            <w:szCs w:val="20"/>
          </w:rPr>
          <w:t>Jimenez-Sanchez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Lam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Hannus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Sönnichsen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Imarisio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Fleming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siRNA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screen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identifies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QPCT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druggable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target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Nat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Chem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Biol.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2015;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11: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347-</w:t>
        </w:r>
        <w:r w:rsidR="008E158F" w:rsidRPr="007A6110">
          <w:rPr>
            <w:rStyle w:val="Hyperlink"/>
            <w:bCs/>
            <w:sz w:val="20"/>
            <w:szCs w:val="20"/>
          </w:rPr>
          <w:t>3</w:t>
        </w:r>
        <w:r w:rsidRPr="007A6110">
          <w:rPr>
            <w:rStyle w:val="Hyperlink"/>
            <w:bCs/>
            <w:sz w:val="20"/>
            <w:szCs w:val="20"/>
          </w:rPr>
          <w:t>54</w:t>
        </w:r>
        <w:r w:rsidR="008E158F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  <w:r w:rsidR="0065753B" w:rsidRPr="007A6110">
        <w:rPr>
          <w:bCs/>
          <w:sz w:val="20"/>
          <w:szCs w:val="20"/>
        </w:rPr>
        <w:t xml:space="preserve"> </w:t>
      </w:r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STR5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19" w:history="1">
        <w:r w:rsidRPr="007A6110">
          <w:rPr>
            <w:rStyle w:val="Hyperlink"/>
            <w:bCs/>
            <w:sz w:val="20"/>
            <w:szCs w:val="20"/>
          </w:rPr>
          <w:t>Yamanaka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Wong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Tosaki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</w:t>
        </w:r>
        <w:proofErr w:type="gramEnd"/>
        <w:r w:rsidRPr="007A6110">
          <w:rPr>
            <w:rStyle w:val="Hyperlink"/>
            <w:bCs/>
            <w:sz w:val="20"/>
            <w:szCs w:val="20"/>
          </w:rPr>
          <w:t>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Bauer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PO,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Wada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Kurosawa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B40AB4" w:rsidRPr="007A6110">
          <w:rPr>
            <w:rStyle w:val="Hyperlink"/>
            <w:bCs/>
            <w:sz w:val="20"/>
            <w:szCs w:val="20"/>
          </w:rPr>
          <w:t xml:space="preserve"> et al</w:t>
        </w:r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Large-scale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RNA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interference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screening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mammalian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cells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identifies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novel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regulators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mutant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aggregation.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PLoS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One.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2014;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9: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e93891.</w:t>
        </w:r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STR6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0" w:history="1">
        <w:proofErr w:type="spellStart"/>
        <w:r w:rsidRPr="007A6110">
          <w:rPr>
            <w:rStyle w:val="Hyperlink"/>
            <w:bCs/>
            <w:sz w:val="20"/>
            <w:szCs w:val="20"/>
          </w:rPr>
          <w:t>Trembath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Horton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ZA,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Tippett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Hogg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Collins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Churchyard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retrospective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study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impact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lifestyle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Mov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Disord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2010;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25: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1444-1450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STR7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1" w:history="1">
        <w:proofErr w:type="spellStart"/>
        <w:r w:rsidRPr="007A6110">
          <w:rPr>
            <w:rStyle w:val="Hyperlink"/>
            <w:bCs/>
            <w:sz w:val="20"/>
            <w:szCs w:val="20"/>
          </w:rPr>
          <w:t>Byars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Beglinger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Moser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Gonzalez-</w:t>
        </w:r>
        <w:proofErr w:type="spellStart"/>
        <w:r w:rsidRPr="007A6110">
          <w:rPr>
            <w:rStyle w:val="Hyperlink"/>
            <w:bCs/>
            <w:sz w:val="20"/>
            <w:szCs w:val="20"/>
          </w:rPr>
          <w:t>Alegre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Nopoulos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Substance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abuse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risk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factor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earlier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Neurol.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2012;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259: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1824-1831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STR8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2" w:history="1">
        <w:r w:rsidRPr="007A6110">
          <w:rPr>
            <w:rStyle w:val="Hyperlink"/>
            <w:bCs/>
            <w:sz w:val="20"/>
            <w:szCs w:val="20"/>
          </w:rPr>
          <w:t>Cruickshank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Thompson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Domínguez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JF,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Reyes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Bynevelt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Georgiou-</w:t>
        </w:r>
        <w:proofErr w:type="spellStart"/>
        <w:r w:rsidRPr="007A6110">
          <w:rPr>
            <w:rStyle w:val="Hyperlink"/>
            <w:bCs/>
            <w:sz w:val="20"/>
            <w:szCs w:val="20"/>
          </w:rPr>
          <w:t>Karistianis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effect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multidisciplinary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rehabilitation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brain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structure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cognition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exploratory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study.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Brain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Behav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2015;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5: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e00312.</w:t>
        </w:r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STR9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3" w:history="1">
        <w:proofErr w:type="spellStart"/>
        <w:r w:rsidRPr="007A6110">
          <w:rPr>
            <w:rStyle w:val="Hyperlink"/>
            <w:bCs/>
            <w:sz w:val="20"/>
            <w:szCs w:val="20"/>
          </w:rPr>
          <w:t>Simonin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Duru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Salleron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Hincker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Charles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Delval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Association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between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caffeine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intake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Neurobiol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2013;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58: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179-182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STR10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4" w:history="1">
        <w:r w:rsidRPr="007A6110">
          <w:rPr>
            <w:rStyle w:val="Hyperlink"/>
            <w:bCs/>
            <w:sz w:val="20"/>
            <w:szCs w:val="20"/>
          </w:rPr>
          <w:t>Andresen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Gayán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Cherny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Brocklebank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Alkorta-Aranburu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Addis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Replication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twelve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association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studies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residual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large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Venezuelan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kindreds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2007;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44: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44-50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STR11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5" w:history="1">
        <w:proofErr w:type="spellStart"/>
        <w:r w:rsidRPr="007A6110">
          <w:rPr>
            <w:rStyle w:val="Hyperlink"/>
            <w:bCs/>
            <w:sz w:val="20"/>
            <w:szCs w:val="20"/>
          </w:rPr>
          <w:t>Gayán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Brocklebank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Andresen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Alkorta-Aranburu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US-Venezuela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Collaborative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Research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Group,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Zameel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Cader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Genomewide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linkage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reveals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novel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loci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modifying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Venezuelan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kindreds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Genet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Epidemiol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2008;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32: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445-453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STR12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6" w:history="1">
        <w:r w:rsidRPr="007A6110">
          <w:rPr>
            <w:rStyle w:val="Hyperlink"/>
            <w:bCs/>
            <w:sz w:val="20"/>
            <w:szCs w:val="20"/>
          </w:rPr>
          <w:t>Li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Hayden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Warby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Durr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</w:t>
        </w:r>
        <w:proofErr w:type="gramEnd"/>
        <w:r w:rsidRPr="007A6110">
          <w:rPr>
            <w:rStyle w:val="Hyperlink"/>
            <w:bCs/>
            <w:sz w:val="20"/>
            <w:szCs w:val="20"/>
          </w:rPr>
          <w:t>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Morrison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Nance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Genome-wide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significance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modifier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neurological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6q23-24: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MAPS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study.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BMC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2006;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7: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71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STR13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7" w:history="1">
        <w:proofErr w:type="spellStart"/>
        <w:r w:rsidRPr="007A6110">
          <w:rPr>
            <w:rStyle w:val="Hyperlink"/>
            <w:bCs/>
            <w:sz w:val="20"/>
            <w:szCs w:val="20"/>
          </w:rPr>
          <w:t>Djoussé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Knowlton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Hayden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Almqvist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EW,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Brinkman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Ross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Evidence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modifier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linked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4p16.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Neurogenetics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2004;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5: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109-114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STR14</w:t>
      </w:r>
      <w:r w:rsidR="00B40AB4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8" w:history="1">
        <w:r w:rsidRPr="007A6110">
          <w:rPr>
            <w:rStyle w:val="Hyperlink"/>
            <w:bCs/>
            <w:sz w:val="20"/>
            <w:szCs w:val="20"/>
          </w:rPr>
          <w:t>Li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Hayden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Almqvist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EW,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Brinkman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Durr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Dodé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genome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modifiers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age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onset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MAPS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study.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2003;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73: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682-687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STR15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29" w:history="1">
        <w:r w:rsidRPr="007A6110">
          <w:rPr>
            <w:rStyle w:val="Hyperlink"/>
            <w:bCs/>
            <w:sz w:val="20"/>
            <w:szCs w:val="20"/>
          </w:rPr>
          <w:t>Lee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Gillis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Mysore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Ramos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Myers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Hayden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Common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SNP-based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haplotype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analysis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4p16.3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region.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2012;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90: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434-</w:t>
        </w:r>
        <w:r w:rsidR="00B40AB4" w:rsidRPr="007A6110">
          <w:rPr>
            <w:rStyle w:val="Hyperlink"/>
            <w:bCs/>
            <w:sz w:val="20"/>
            <w:szCs w:val="20"/>
          </w:rPr>
          <w:t>4</w:t>
        </w:r>
        <w:r w:rsidRPr="007A6110">
          <w:rPr>
            <w:rStyle w:val="Hyperlink"/>
            <w:bCs/>
            <w:sz w:val="20"/>
            <w:szCs w:val="20"/>
          </w:rPr>
          <w:t>44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STR16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0" w:history="1">
        <w:proofErr w:type="spellStart"/>
        <w:r w:rsidRPr="007A6110">
          <w:rPr>
            <w:rStyle w:val="Hyperlink"/>
            <w:bCs/>
            <w:sz w:val="20"/>
            <w:szCs w:val="20"/>
          </w:rPr>
          <w:t>Vinther</w:t>
        </w:r>
        <w:proofErr w:type="spellEnd"/>
        <w:r w:rsidRPr="007A6110">
          <w:rPr>
            <w:rStyle w:val="Hyperlink"/>
            <w:bCs/>
            <w:sz w:val="20"/>
            <w:szCs w:val="20"/>
          </w:rPr>
          <w:t>-Jensen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Nielsen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Budtz-Jørgensen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Larsen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IU,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Hansen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Hasholt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L,</w:t>
        </w:r>
        <w:r w:rsidR="00B40AB4" w:rsidRPr="007A6110">
          <w:rPr>
            <w:rStyle w:val="Hyperlink"/>
            <w:bCs/>
            <w:sz w:val="20"/>
            <w:szCs w:val="20"/>
          </w:rPr>
          <w:t xml:space="preserve"> et al</w:t>
        </w:r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Psychiatric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cognitive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symptoms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modified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polymorphisms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catecholamine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regulating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enzyme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genes.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Clin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2016;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89: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320-327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STR17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1" w:history="1">
        <w:r w:rsidRPr="007A6110">
          <w:rPr>
            <w:rStyle w:val="Hyperlink"/>
            <w:bCs/>
            <w:sz w:val="20"/>
            <w:szCs w:val="20"/>
          </w:rPr>
          <w:t>Ramos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Kovalenko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Guide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Claire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Gillis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Mysore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Chromosome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substitution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strain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assessment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modifier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locus.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Mamm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Genome.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2015;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26:</w:t>
        </w:r>
        <w:r w:rsidR="00B40AB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119-130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STR18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2" w:history="1">
        <w:proofErr w:type="spellStart"/>
        <w:r w:rsidRPr="007A6110">
          <w:rPr>
            <w:rStyle w:val="Hyperlink"/>
            <w:bCs/>
            <w:sz w:val="20"/>
            <w:szCs w:val="20"/>
          </w:rPr>
          <w:t>Rigamonti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Bauer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De-</w:t>
        </w:r>
        <w:proofErr w:type="spellStart"/>
        <w:r w:rsidRPr="007A6110">
          <w:rPr>
            <w:rStyle w:val="Hyperlink"/>
            <w:bCs/>
            <w:sz w:val="20"/>
            <w:szCs w:val="20"/>
          </w:rPr>
          <w:t>Fraja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Conti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Sipione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Sciorati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Wild-type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protects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from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apoptosis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upstream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caspase-3.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Neurosci</w:t>
        </w:r>
        <w:proofErr w:type="spellEnd"/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2000;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3705-3713.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STR19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3" w:history="1">
        <w:r w:rsidRPr="007A6110">
          <w:rPr>
            <w:rStyle w:val="Hyperlink"/>
            <w:bCs/>
            <w:sz w:val="20"/>
            <w:szCs w:val="20"/>
          </w:rPr>
          <w:t>Leavitt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Guttman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Hodgson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JG,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Kimel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Singaraja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Vogl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AW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Wild-type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reduces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cellular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toxicity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mutant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vivo.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2001;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68: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313-324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STR20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4" w:history="1">
        <w:r w:rsidRPr="007A6110">
          <w:rPr>
            <w:rStyle w:val="Hyperlink"/>
            <w:bCs/>
            <w:sz w:val="20"/>
            <w:szCs w:val="20"/>
          </w:rPr>
          <w:t>Leavitt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BR,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Raamsdonk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Shehadeh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Fernandes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Murphy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Z,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Graham,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Wild-type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protects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neurons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from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excitotoxicity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J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Neurochem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2006;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96: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1121-1129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lastRenderedPageBreak/>
        <w:t>STR21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5" w:history="1">
        <w:r w:rsidRPr="007A6110">
          <w:rPr>
            <w:rStyle w:val="Hyperlink"/>
            <w:bCs/>
            <w:sz w:val="20"/>
            <w:szCs w:val="20"/>
          </w:rPr>
          <w:t>Ho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LW,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Carmichael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Swartz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Wyttenbach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Rankin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Rubinsztein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DC.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molecular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biology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Psychol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Med.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2001;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31: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3-14.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7A6110">
        <w:rPr>
          <w:bCs/>
          <w:sz w:val="20"/>
          <w:szCs w:val="20"/>
        </w:rPr>
        <w:t>STR</w:t>
      </w:r>
      <w:r w:rsidR="0065753B" w:rsidRPr="007A6110">
        <w:rPr>
          <w:bCs/>
          <w:sz w:val="20"/>
          <w:szCs w:val="20"/>
        </w:rPr>
        <w:t xml:space="preserve"> </w:t>
      </w:r>
      <w:r w:rsidRPr="007A6110">
        <w:rPr>
          <w:bCs/>
          <w:sz w:val="20"/>
          <w:szCs w:val="20"/>
        </w:rPr>
        <w:t>22</w:t>
      </w:r>
      <w:r w:rsidR="00CD7F0B" w:rsidRPr="007A6110">
        <w:rPr>
          <w:bCs/>
          <w:sz w:val="20"/>
          <w:szCs w:val="20"/>
        </w:rPr>
        <w:t>.</w:t>
      </w:r>
      <w:proofErr w:type="gramEnd"/>
      <w:r w:rsidR="0065753B" w:rsidRPr="007A6110">
        <w:rPr>
          <w:bCs/>
          <w:sz w:val="20"/>
          <w:szCs w:val="20"/>
        </w:rPr>
        <w:t xml:space="preserve"> </w:t>
      </w:r>
      <w:hyperlink r:id="rId36" w:history="1"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Auerbach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Hurlbert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MS,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Hilditch</w:t>
        </w:r>
        <w:proofErr w:type="spellEnd"/>
        <w:r w:rsidRPr="007A6110">
          <w:rPr>
            <w:rStyle w:val="Hyperlink"/>
            <w:bCs/>
            <w:sz w:val="20"/>
            <w:szCs w:val="20"/>
          </w:rPr>
          <w:t>-Maguire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Wadghiri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YZ,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Wheeler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Cohen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SI,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mutation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causes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progressive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lethal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neurological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mice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expressing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reduced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levels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Hum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Genet.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2001;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10: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2515-2523.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STR23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7" w:history="1">
        <w:proofErr w:type="spellStart"/>
        <w:r w:rsidRPr="007A6110">
          <w:rPr>
            <w:rStyle w:val="Hyperlink"/>
            <w:bCs/>
            <w:sz w:val="20"/>
            <w:szCs w:val="20"/>
          </w:rPr>
          <w:t>Saleh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Bhadra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AK,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Roy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Cytotoxicity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mutant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fragment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yeast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modulated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expression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level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wild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type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fragment</w:t>
        </w:r>
        <w:r w:rsidR="00B40AB4"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ACS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Chem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Neurosci</w:t>
        </w:r>
        <w:proofErr w:type="spellEnd"/>
        <w:r w:rsidRPr="007A6110">
          <w:rPr>
            <w:rStyle w:val="Hyperlink"/>
            <w:bCs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2014;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5: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205-215</w:t>
        </w:r>
        <w:r w:rsidR="00BF7DA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STR24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38" w:history="1"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Appl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Kaltenbach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DC,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Terstappen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GC.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Targeting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mutant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development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disease-modifying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therapy.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Drug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Discov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Today.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2012;</w:t>
        </w:r>
        <w:r w:rsidR="00BF7DA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17:</w:t>
        </w:r>
        <w:r w:rsidR="00BF7DA4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1217-1223</w:t>
        </w:r>
        <w:r w:rsidR="00BF7DA4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STR25</w:t>
      </w:r>
      <w:r w:rsidR="00CD7F0B" w:rsidRPr="007A6110">
        <w:rPr>
          <w:sz w:val="20"/>
          <w:szCs w:val="20"/>
        </w:rPr>
        <w:t>.</w:t>
      </w:r>
      <w:hyperlink r:id="rId39" w:history="1"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Chern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AMPK-α1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functions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downstream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oxidative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stress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mediate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neuronal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atrophy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Biochim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Biophys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Acta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1842:</w:t>
        </w:r>
        <w:r w:rsidR="00BF7DA4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1668-1680</w:t>
        </w:r>
        <w:r w:rsidR="00BF7DA4" w:rsidRPr="007A6110">
          <w:rPr>
            <w:rStyle w:val="Hyperlink"/>
            <w:sz w:val="20"/>
            <w:szCs w:val="20"/>
          </w:rPr>
          <w:t>.</w:t>
        </w:r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STR26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0" w:history="1">
        <w:r w:rsidRPr="007A6110">
          <w:rPr>
            <w:rStyle w:val="Hyperlink"/>
            <w:sz w:val="20"/>
            <w:szCs w:val="20"/>
          </w:rPr>
          <w:t>Brito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Giralt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Enriquez-</w:t>
        </w:r>
        <w:proofErr w:type="spellStart"/>
        <w:r w:rsidRPr="007A6110">
          <w:rPr>
            <w:rStyle w:val="Hyperlink"/>
            <w:sz w:val="20"/>
            <w:szCs w:val="20"/>
          </w:rPr>
          <w:t>Barreto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Puigdellívol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Suelves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Zamora-</w:t>
        </w:r>
        <w:proofErr w:type="spellStart"/>
        <w:r w:rsidRPr="007A6110">
          <w:rPr>
            <w:rStyle w:val="Hyperlink"/>
            <w:sz w:val="20"/>
            <w:szCs w:val="20"/>
          </w:rPr>
          <w:t>Moratalla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Neurotrophin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receptor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p75(NTR)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mediates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disease-associated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synaptic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memory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dysfunction.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Clin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Invest.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124: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4411-4428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STR27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1" w:history="1">
        <w:proofErr w:type="spellStart"/>
        <w:r w:rsidRPr="007A6110">
          <w:rPr>
            <w:rStyle w:val="Hyperlink"/>
            <w:sz w:val="20"/>
            <w:szCs w:val="20"/>
          </w:rPr>
          <w:t>Plotkin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JL,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Day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Peterson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JD,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Xie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Z,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Kress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Rafalovich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Impaired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TrkB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receptor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signaling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underlies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corticostriatal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dysfunction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Neuron.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83: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178-188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STR28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2" w:history="1">
        <w:proofErr w:type="spellStart"/>
        <w:r w:rsidRPr="007A6110">
          <w:rPr>
            <w:rStyle w:val="Hyperlink"/>
            <w:sz w:val="20"/>
            <w:szCs w:val="20"/>
          </w:rPr>
          <w:t>Shema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Kulicke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Cowley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GS,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Stein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Root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Heiman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M.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Synthetic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lethal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screening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mammalian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central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nervous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system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identifies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Gpx6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modulator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Natl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Acad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Sci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USA.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2015;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112: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268-272.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STR29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3" w:history="1">
        <w:proofErr w:type="spellStart"/>
        <w:r w:rsidRPr="007A6110">
          <w:rPr>
            <w:rStyle w:val="Hyperlink"/>
            <w:sz w:val="20"/>
            <w:szCs w:val="20"/>
          </w:rPr>
          <w:t>Maheshwari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Shekhar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Singh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BK,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Jamal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Vatsa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Kumar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V,</w:t>
        </w:r>
        <w:r w:rsidR="004B7915" w:rsidRPr="007A6110">
          <w:rPr>
            <w:rStyle w:val="Hyperlink"/>
            <w:sz w:val="20"/>
            <w:szCs w:val="20"/>
          </w:rPr>
          <w:t xml:space="preserve"> et al</w:t>
        </w:r>
        <w:r w:rsidRPr="007A6110">
          <w:rPr>
            <w:rStyle w:val="Hyperlink"/>
            <w:sz w:val="20"/>
            <w:szCs w:val="20"/>
          </w:rPr>
          <w:t>.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Deficiency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Ube3a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mice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brain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increases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aggregate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load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accelerates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pathology.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Genet.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23: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6235-6245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STR30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4" w:history="1">
        <w:proofErr w:type="spellStart"/>
        <w:r w:rsidRPr="007A6110">
          <w:rPr>
            <w:rStyle w:val="Hyperlink"/>
            <w:sz w:val="20"/>
            <w:szCs w:val="20"/>
          </w:rPr>
          <w:t>Bhat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Yan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Wang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XJ.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Differential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ubiquitination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degradation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fragments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modulated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ubiquitin-protein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ligase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E3A.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Natl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Acad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Sci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USA.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111: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5706-5711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proofErr w:type="gramStart"/>
      <w:r w:rsidRPr="007A6110">
        <w:rPr>
          <w:sz w:val="20"/>
          <w:szCs w:val="20"/>
        </w:rPr>
        <w:t>STR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31</w:t>
      </w:r>
      <w:r w:rsidR="00CD7F0B" w:rsidRPr="007A6110">
        <w:rPr>
          <w:sz w:val="20"/>
          <w:szCs w:val="20"/>
        </w:rPr>
        <w:t>.</w:t>
      </w:r>
      <w:proofErr w:type="gramEnd"/>
      <w:r w:rsidR="0065753B" w:rsidRPr="007A6110">
        <w:rPr>
          <w:sz w:val="20"/>
          <w:szCs w:val="20"/>
        </w:rPr>
        <w:t xml:space="preserve"> </w:t>
      </w:r>
      <w:hyperlink r:id="rId45" w:history="1">
        <w:proofErr w:type="spellStart"/>
        <w:r w:rsidRPr="007A6110">
          <w:rPr>
            <w:rStyle w:val="Hyperlink"/>
            <w:sz w:val="20"/>
            <w:szCs w:val="20"/>
          </w:rPr>
          <w:t>Hyrskyluoto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A</w:t>
        </w:r>
        <w:proofErr w:type="gramEnd"/>
        <w:r w:rsidRPr="007A6110">
          <w:rPr>
            <w:rStyle w:val="Hyperlink"/>
            <w:sz w:val="20"/>
            <w:szCs w:val="20"/>
          </w:rPr>
          <w:t>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Bruelle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Lundh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SH,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HT,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Kivinen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Rappou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</w:t>
        </w:r>
        <w:r w:rsidR="004B7915" w:rsidRPr="007A6110">
          <w:rPr>
            <w:rStyle w:val="Hyperlink"/>
            <w:sz w:val="20"/>
            <w:szCs w:val="20"/>
          </w:rPr>
          <w:t>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="004B7915" w:rsidRPr="007A6110">
          <w:rPr>
            <w:rStyle w:val="Hyperlink"/>
            <w:sz w:val="20"/>
            <w:szCs w:val="20"/>
          </w:rPr>
          <w:t xml:space="preserve">al. </w:t>
        </w:r>
        <w:r w:rsidRPr="007A6110">
          <w:rPr>
            <w:rStyle w:val="Hyperlink"/>
            <w:sz w:val="20"/>
            <w:szCs w:val="20"/>
          </w:rPr>
          <w:t>Ubiquitin-specific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protease-14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reduces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cellular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aggregates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protects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against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Pr="007A6110">
          <w:rPr>
            <w:rStyle w:val="Hyperlink"/>
            <w:sz w:val="20"/>
            <w:szCs w:val="20"/>
          </w:rPr>
          <w:t>-induced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degeneration: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involvement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proteasome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stress-activated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kinase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IRE1α.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Genet.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23: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5928-5939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STR32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6" w:history="1">
        <w:proofErr w:type="spellStart"/>
        <w:r w:rsidRPr="007A6110">
          <w:rPr>
            <w:rStyle w:val="Hyperlink"/>
            <w:sz w:val="20"/>
            <w:szCs w:val="20"/>
          </w:rPr>
          <w:t>Sancho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Herrera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Orzáez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Pérez-Payá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Inactivation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Apaf1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reduces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formation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Pr="007A6110">
          <w:rPr>
            <w:rStyle w:val="Hyperlink"/>
            <w:sz w:val="20"/>
            <w:szCs w:val="20"/>
          </w:rPr>
          <w:t>-dependent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aggregates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death.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Neuroscience.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262: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83-91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STR33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7" w:history="1">
        <w:r w:rsidRPr="007A6110">
          <w:rPr>
            <w:rStyle w:val="Hyperlink"/>
            <w:sz w:val="20"/>
            <w:szCs w:val="20"/>
          </w:rPr>
          <w:t>Lu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XH,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Mattis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VB,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Wang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Al-</w:t>
        </w:r>
        <w:proofErr w:type="spellStart"/>
        <w:r w:rsidRPr="007A6110">
          <w:rPr>
            <w:rStyle w:val="Hyperlink"/>
            <w:sz w:val="20"/>
            <w:szCs w:val="20"/>
          </w:rPr>
          <w:t>Ramahi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van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Berg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Fratantoni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SA,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Targeting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ATM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ameliorates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toxicity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animal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models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Sci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Transl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Med.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6: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268ra178</w:t>
        </w:r>
        <w:r w:rsidR="004B7915" w:rsidRPr="007A6110">
          <w:rPr>
            <w:rStyle w:val="Hyperlink"/>
            <w:sz w:val="20"/>
            <w:szCs w:val="20"/>
          </w:rPr>
          <w:t>.</w:t>
        </w:r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STR34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8" w:history="1">
        <w:r w:rsidRPr="007A6110">
          <w:rPr>
            <w:rStyle w:val="Hyperlink"/>
            <w:sz w:val="20"/>
            <w:szCs w:val="20"/>
          </w:rPr>
          <w:t>Rui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Xu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Z,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Patel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Z,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Tito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="004B7915"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functions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scaffold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for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selective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macroautophagy.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Nat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Biol.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2015;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17: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262-275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94056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STR35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49" w:history="1">
        <w:r w:rsidRPr="007A6110">
          <w:rPr>
            <w:rStyle w:val="Hyperlink"/>
            <w:sz w:val="20"/>
            <w:szCs w:val="20"/>
          </w:rPr>
          <w:t>Kurosawa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Matsumoto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Kino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Okuno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Kurosawa-Yamada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Washizu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Depletion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p62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reduces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nuclear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inclusions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paradoxically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ameliorates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phenotypes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model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mice.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Genet.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2015;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24: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1092-1105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D94056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lastRenderedPageBreak/>
        <w:t>STR36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0" w:history="1">
        <w:proofErr w:type="spellStart"/>
        <w:r w:rsidRPr="007A6110">
          <w:rPr>
            <w:rStyle w:val="Hyperlink"/>
            <w:sz w:val="20"/>
            <w:szCs w:val="20"/>
          </w:rPr>
          <w:t>Jia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Pallos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Jacques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Lau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A</w:t>
        </w:r>
        <w:proofErr w:type="gramEnd"/>
        <w:r w:rsidRPr="007A6110">
          <w:rPr>
            <w:rStyle w:val="Hyperlink"/>
            <w:sz w:val="20"/>
            <w:szCs w:val="20"/>
          </w:rPr>
          <w:t>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Cooper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Histone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deacetylase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(HDAC)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inhibitors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targeting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HDAC3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HDAC1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ameliorate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polyglutamine</w:t>
        </w:r>
        <w:proofErr w:type="spellEnd"/>
        <w:r w:rsidRPr="007A6110">
          <w:rPr>
            <w:rStyle w:val="Hyperlink"/>
            <w:sz w:val="20"/>
            <w:szCs w:val="20"/>
          </w:rPr>
          <w:t>-elicited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phenotypes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model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systems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Neurobiol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2012;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46: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351-361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proofErr w:type="gramStart"/>
      <w:r w:rsidRPr="007A6110">
        <w:rPr>
          <w:sz w:val="20"/>
          <w:szCs w:val="20"/>
        </w:rPr>
        <w:t>STR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37</w:t>
      </w:r>
      <w:r w:rsidR="00CD7F0B" w:rsidRPr="007A6110">
        <w:rPr>
          <w:sz w:val="20"/>
          <w:szCs w:val="20"/>
        </w:rPr>
        <w:t>.</w:t>
      </w:r>
      <w:proofErr w:type="gramEnd"/>
      <w:r w:rsidR="0065753B" w:rsidRPr="007A6110">
        <w:rPr>
          <w:sz w:val="20"/>
          <w:szCs w:val="20"/>
        </w:rPr>
        <w:t xml:space="preserve"> </w:t>
      </w:r>
      <w:hyperlink r:id="rId51" w:history="1">
        <w:r w:rsidRPr="007A6110">
          <w:rPr>
            <w:rStyle w:val="Hyperlink"/>
            <w:sz w:val="20"/>
            <w:szCs w:val="20"/>
          </w:rPr>
          <w:t>Hayden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Leavitt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Yasothan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U,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Kirkpatrick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Tetrabenazine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Nat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Rev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Drug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Discov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4B7915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2009;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8: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17-18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STR38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2" w:history="1">
        <w:proofErr w:type="gramStart"/>
        <w:r w:rsidRPr="007A6110">
          <w:rPr>
            <w:rStyle w:val="Hyperlink"/>
            <w:sz w:val="20"/>
            <w:szCs w:val="20"/>
          </w:rPr>
          <w:t>Frank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Treatment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Neurotherapeutics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11:</w:t>
        </w:r>
        <w:r w:rsidR="004B7915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153-160</w:t>
        </w:r>
        <w:r w:rsidR="004B7915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proofErr w:type="gramStart"/>
      <w:r w:rsidRPr="007A6110">
        <w:rPr>
          <w:sz w:val="20"/>
          <w:szCs w:val="20"/>
        </w:rPr>
        <w:t>STR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39</w:t>
      </w:r>
      <w:r w:rsidR="00CD7F0B" w:rsidRPr="007A6110">
        <w:rPr>
          <w:sz w:val="20"/>
          <w:szCs w:val="20"/>
        </w:rPr>
        <w:t>.</w:t>
      </w:r>
      <w:proofErr w:type="gramEnd"/>
      <w:r w:rsidR="0065753B" w:rsidRPr="007A6110">
        <w:rPr>
          <w:sz w:val="20"/>
          <w:szCs w:val="20"/>
        </w:rPr>
        <w:t xml:space="preserve"> </w:t>
      </w:r>
      <w:hyperlink r:id="rId53" w:history="1">
        <w:proofErr w:type="gramStart"/>
        <w:r w:rsidRPr="007A6110">
          <w:rPr>
            <w:rStyle w:val="Hyperlink"/>
            <w:sz w:val="20"/>
            <w:szCs w:val="20"/>
          </w:rPr>
          <w:t>Rangel-Barajas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Coronel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Florán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Dopamine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Receptors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Neurodegeneration.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Aging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2015;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6: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349-368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STR40</w:t>
      </w:r>
      <w:r w:rsidR="001E2E5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4" w:history="1">
        <w:proofErr w:type="gramStart"/>
        <w:r w:rsidRPr="007A6110">
          <w:rPr>
            <w:rStyle w:val="Hyperlink"/>
            <w:sz w:val="20"/>
            <w:szCs w:val="20"/>
          </w:rPr>
          <w:t>Schwab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Garas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SN,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Drouin-Ouellet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Mason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SL,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Stott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Barker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RA.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Dopamine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Expert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Rev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Neurother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2015;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15: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445-458.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STR41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5" w:history="1">
        <w:r w:rsidRPr="007A6110">
          <w:rPr>
            <w:rStyle w:val="Hyperlink"/>
            <w:sz w:val="20"/>
            <w:szCs w:val="20"/>
          </w:rPr>
          <w:t>Garcia-</w:t>
        </w:r>
        <w:proofErr w:type="spellStart"/>
        <w:r w:rsidRPr="007A6110">
          <w:rPr>
            <w:rStyle w:val="Hyperlink"/>
            <w:sz w:val="20"/>
            <w:szCs w:val="20"/>
          </w:rPr>
          <w:t>Miralles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Ooi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Ferrari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Bardile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George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Drum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CL,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Treatment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with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MAO-</w:t>
        </w:r>
        <w:proofErr w:type="gramStart"/>
        <w:r w:rsidRPr="007A6110">
          <w:rPr>
            <w:rStyle w:val="Hyperlink"/>
            <w:sz w:val="20"/>
            <w:szCs w:val="20"/>
          </w:rPr>
          <w:t>A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inhibitor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clorgyline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elevates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monoamine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neurotransmitter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levels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improves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affective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phenotypes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mouse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model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Exp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2016;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278: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4-10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STR42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6" w:history="1">
        <w:proofErr w:type="spellStart"/>
        <w:r w:rsidRPr="007A6110">
          <w:rPr>
            <w:rStyle w:val="Hyperlink"/>
            <w:sz w:val="20"/>
            <w:szCs w:val="20"/>
          </w:rPr>
          <w:t>Ooi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Hayden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MR,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Pouladi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MA.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Inhibition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Excessive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Monoamine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Oxidase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A/B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Activity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Protects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Against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Stress-induced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Neuronal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Death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Mol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Neurobiol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2015;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52: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1850-1861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uppressAutoHyphens/>
        <w:spacing w:line="360" w:lineRule="auto"/>
        <w:jc w:val="both"/>
        <w:rPr>
          <w:sz w:val="20"/>
          <w:szCs w:val="20"/>
        </w:rPr>
      </w:pPr>
      <w:proofErr w:type="gramStart"/>
      <w:r w:rsidRPr="007A6110">
        <w:rPr>
          <w:sz w:val="20"/>
          <w:szCs w:val="20"/>
        </w:rPr>
        <w:t>STR</w:t>
      </w:r>
      <w:r w:rsidR="0065753B" w:rsidRPr="007A6110">
        <w:rPr>
          <w:sz w:val="20"/>
          <w:szCs w:val="20"/>
        </w:rPr>
        <w:t xml:space="preserve"> </w:t>
      </w:r>
      <w:r w:rsidRPr="007A6110">
        <w:rPr>
          <w:sz w:val="20"/>
          <w:szCs w:val="20"/>
        </w:rPr>
        <w:t>43</w:t>
      </w:r>
      <w:r w:rsidR="00CD7F0B" w:rsidRPr="007A6110">
        <w:rPr>
          <w:sz w:val="20"/>
          <w:szCs w:val="20"/>
        </w:rPr>
        <w:t>.</w:t>
      </w:r>
      <w:proofErr w:type="gramEnd"/>
      <w:r w:rsidR="0065753B" w:rsidRPr="007A6110">
        <w:rPr>
          <w:sz w:val="20"/>
          <w:szCs w:val="20"/>
        </w:rPr>
        <w:t xml:space="preserve"> </w:t>
      </w:r>
      <w:hyperlink r:id="rId57" w:history="1">
        <w:r w:rsidRPr="007A6110">
          <w:rPr>
            <w:rStyle w:val="Hyperlink"/>
            <w:sz w:val="20"/>
            <w:szCs w:val="20"/>
          </w:rPr>
          <w:t>Ju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Chen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Chang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Chern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Y.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AMPK-α1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functions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downstream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oxidative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stress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mediate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neuronal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atrophy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Biochim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Biophys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Acta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1842: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1668-1680</w:t>
        </w:r>
        <w:r w:rsidR="006B1F41" w:rsidRPr="007A6110">
          <w:rPr>
            <w:rStyle w:val="Hyperlink"/>
            <w:sz w:val="20"/>
            <w:szCs w:val="20"/>
          </w:rPr>
          <w:t>.</w:t>
        </w:r>
      </w:hyperlink>
    </w:p>
    <w:p w:rsidR="0086698F" w:rsidRPr="007A6110" w:rsidRDefault="0086698F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STR44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8" w:history="1">
        <w:proofErr w:type="spellStart"/>
        <w:r w:rsidRPr="007A6110">
          <w:rPr>
            <w:rStyle w:val="Hyperlink"/>
            <w:sz w:val="20"/>
            <w:szCs w:val="20"/>
          </w:rPr>
          <w:t>Vázquez-Manrique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Farina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Cambon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Dolores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Sequedo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Parker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Millán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AMPK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activation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protects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from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neuronal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dysfunction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vulnerability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across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nematode,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cellular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mouse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models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Huntington's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Genet.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2016;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25: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1043-1058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86698F" w:rsidRPr="007A6110" w:rsidRDefault="0086698F" w:rsidP="007A6110">
      <w:pPr>
        <w:suppressAutoHyphens/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STR45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59" w:history="1">
        <w:r w:rsidRPr="007A6110">
          <w:rPr>
            <w:rStyle w:val="Hyperlink"/>
            <w:sz w:val="20"/>
            <w:szCs w:val="20"/>
          </w:rPr>
          <w:t>Jin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Gu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Anders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NM,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Ren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Jiang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Tao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Metformin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Protects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from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Toxicity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Through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Activation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AMPK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Modulation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Mitochondrial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Dynamics.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Neuromolecular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Med.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2016</w:t>
        </w:r>
        <w:r w:rsidR="006B1F41" w:rsidRPr="007A6110">
          <w:rPr>
            <w:rStyle w:val="Hyperlink"/>
            <w:sz w:val="20"/>
            <w:szCs w:val="20"/>
          </w:rPr>
          <w:t>.</w:t>
        </w:r>
      </w:hyperlink>
    </w:p>
    <w:p w:rsidR="0086698F" w:rsidRPr="007A6110" w:rsidRDefault="0086698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STR46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60" w:history="1">
        <w:r w:rsidRPr="007A6110">
          <w:rPr>
            <w:rStyle w:val="Hyperlink"/>
            <w:sz w:val="20"/>
            <w:szCs w:val="20"/>
          </w:rPr>
          <w:t>Walter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Clemens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LE,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Müller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AJ,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Fallier</w:t>
        </w:r>
        <w:proofErr w:type="spellEnd"/>
        <w:r w:rsidRPr="007A6110">
          <w:rPr>
            <w:rStyle w:val="Hyperlink"/>
            <w:sz w:val="20"/>
            <w:szCs w:val="20"/>
          </w:rPr>
          <w:t>-Becker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Proikas</w:t>
        </w:r>
        <w:proofErr w:type="spellEnd"/>
        <w:r w:rsidRPr="007A6110">
          <w:rPr>
            <w:rStyle w:val="Hyperlink"/>
            <w:sz w:val="20"/>
            <w:szCs w:val="20"/>
          </w:rPr>
          <w:t>-Cezanne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Riess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="006B1F41" w:rsidRPr="007A6110">
          <w:rPr>
            <w:rStyle w:val="Hyperlink"/>
            <w:sz w:val="20"/>
            <w:szCs w:val="20"/>
          </w:rPr>
          <w:t xml:space="preserve">et al. </w:t>
        </w:r>
        <w:r w:rsidRPr="007A6110">
          <w:rPr>
            <w:rStyle w:val="Hyperlink"/>
            <w:sz w:val="20"/>
            <w:szCs w:val="20"/>
          </w:rPr>
          <w:t>Activation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AMPK-induced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autophagy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ameliorates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Huntington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disease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pathology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vitro</w:t>
        </w:r>
        <w:r w:rsidR="006B1F41" w:rsidRPr="007A6110">
          <w:rPr>
            <w:rStyle w:val="Hyperlink"/>
            <w:sz w:val="20"/>
            <w:szCs w:val="20"/>
          </w:rPr>
          <w:t>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Neuropharmacology</w:t>
        </w:r>
        <w:proofErr w:type="spellEnd"/>
        <w:r w:rsidRPr="007A6110">
          <w:rPr>
            <w:rStyle w:val="Hyperlink"/>
            <w:sz w:val="20"/>
            <w:szCs w:val="20"/>
          </w:rPr>
          <w:t>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2016;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108: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24-38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1768A5" w:rsidRPr="007A6110" w:rsidRDefault="001768A5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STR47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61" w:history="1">
        <w:proofErr w:type="spellStart"/>
        <w:r w:rsidRPr="007A6110">
          <w:rPr>
            <w:rStyle w:val="Hyperlink"/>
            <w:bCs/>
            <w:sz w:val="20"/>
            <w:szCs w:val="20"/>
          </w:rPr>
          <w:t>Jia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Morris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Williams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Loring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JF,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Thomas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EA.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HDAC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inhibition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imparts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beneficial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transgenerational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effects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mice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via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altered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DNA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histone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methylation.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Natl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Acad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Sci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USA.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2015;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112:</w:t>
        </w:r>
        <w:r w:rsidR="006B1F41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E56-64</w:t>
        </w:r>
        <w:r w:rsidR="006B1F41" w:rsidRPr="007A6110">
          <w:rPr>
            <w:rStyle w:val="Hyperlink"/>
            <w:bCs/>
            <w:sz w:val="20"/>
            <w:szCs w:val="20"/>
          </w:rPr>
          <w:t>.</w:t>
        </w:r>
      </w:hyperlink>
    </w:p>
    <w:p w:rsidR="001768A5" w:rsidRPr="007A6110" w:rsidRDefault="001768A5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STR48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62" w:history="1">
        <w:proofErr w:type="spellStart"/>
        <w:r w:rsidRPr="007A6110">
          <w:rPr>
            <w:rStyle w:val="Hyperlink"/>
            <w:bCs/>
            <w:sz w:val="20"/>
            <w:szCs w:val="20"/>
          </w:rPr>
          <w:t>Jia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Wang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Y,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Morris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CD,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Jacques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Gottesfeld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Rusche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JR,</w:t>
        </w:r>
        <w:r w:rsidR="006B1F41" w:rsidRPr="007A6110">
          <w:rPr>
            <w:rStyle w:val="Hyperlink"/>
            <w:bCs/>
            <w:sz w:val="20"/>
            <w:szCs w:val="20"/>
          </w:rPr>
          <w:t xml:space="preserve"> et al</w:t>
        </w:r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Effects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Pharmacological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Inhibition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Histone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Deacetylase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3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(HDAC3)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Disease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Mice.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PLoS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One.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2016;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11:</w:t>
        </w:r>
        <w:r w:rsidR="006B1F41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e0152498</w:t>
        </w:r>
        <w:r w:rsidR="006B1F41" w:rsidRPr="007A6110">
          <w:rPr>
            <w:rStyle w:val="Hyperlink"/>
            <w:bCs/>
            <w:sz w:val="20"/>
            <w:szCs w:val="20"/>
          </w:rPr>
          <w:t>.</w:t>
        </w:r>
      </w:hyperlink>
    </w:p>
    <w:p w:rsidR="007A6110" w:rsidRDefault="001768A5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STR49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63" w:history="1">
        <w:r w:rsidRPr="007A6110">
          <w:rPr>
            <w:rStyle w:val="Hyperlink"/>
            <w:bCs/>
            <w:sz w:val="20"/>
            <w:szCs w:val="20"/>
          </w:rPr>
          <w:t>Moreno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Ehrlich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ME,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Mobbs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CV.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Protection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dietary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restriction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YAC128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mouse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Relation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genes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regulating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histone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acetylation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HTT.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Neurobiol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2016;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85:</w:t>
        </w:r>
        <w:r w:rsidR="006B1F41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25-34.</w:t>
        </w:r>
        <w:proofErr w:type="gramEnd"/>
      </w:hyperlink>
    </w:p>
    <w:p w:rsidR="001768A5" w:rsidRPr="007A6110" w:rsidRDefault="001768A5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STR50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64" w:history="1">
        <w:r w:rsidRPr="007A6110">
          <w:rPr>
            <w:rStyle w:val="Hyperlink"/>
            <w:bCs/>
            <w:sz w:val="20"/>
            <w:szCs w:val="20"/>
          </w:rPr>
          <w:t>Thomas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EA.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Involvement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HDAC1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HDAC3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Pathology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bCs/>
            <w:sz w:val="20"/>
            <w:szCs w:val="20"/>
          </w:rPr>
          <w:t>Polyglutamine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Disorders: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Therapeutic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Implications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for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Selective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HDAC1/HDAC3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Inhibitors.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Pharmaceuticals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(Basel).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bCs/>
            <w:sz w:val="20"/>
            <w:szCs w:val="20"/>
          </w:rPr>
          <w:t>2014;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7:</w:t>
        </w:r>
        <w:r w:rsidR="006B1F41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634-661</w:t>
        </w:r>
        <w:r w:rsidR="006B1F41" w:rsidRPr="007A6110">
          <w:rPr>
            <w:rStyle w:val="Hyperlink"/>
            <w:bCs/>
            <w:sz w:val="20"/>
            <w:szCs w:val="20"/>
          </w:rPr>
          <w:t>.</w:t>
        </w:r>
        <w:proofErr w:type="gramEnd"/>
      </w:hyperlink>
    </w:p>
    <w:p w:rsidR="001768A5" w:rsidRPr="007A6110" w:rsidRDefault="001768A5" w:rsidP="007A6110">
      <w:pPr>
        <w:spacing w:line="360" w:lineRule="auto"/>
        <w:jc w:val="both"/>
        <w:rPr>
          <w:bCs/>
          <w:sz w:val="20"/>
          <w:szCs w:val="20"/>
        </w:rPr>
      </w:pPr>
      <w:r w:rsidRPr="007A6110">
        <w:rPr>
          <w:bCs/>
          <w:sz w:val="20"/>
          <w:szCs w:val="20"/>
        </w:rPr>
        <w:t>STR51</w:t>
      </w:r>
      <w:r w:rsidR="00CD7F0B" w:rsidRPr="007A6110">
        <w:rPr>
          <w:bCs/>
          <w:sz w:val="20"/>
          <w:szCs w:val="20"/>
        </w:rPr>
        <w:t>.</w:t>
      </w:r>
      <w:r w:rsidR="0065753B" w:rsidRPr="007A6110">
        <w:rPr>
          <w:bCs/>
          <w:sz w:val="20"/>
          <w:szCs w:val="20"/>
        </w:rPr>
        <w:t xml:space="preserve"> </w:t>
      </w:r>
      <w:hyperlink r:id="rId65" w:history="1">
        <w:proofErr w:type="spellStart"/>
        <w:r w:rsidRPr="007A6110">
          <w:rPr>
            <w:rStyle w:val="Hyperlink"/>
            <w:bCs/>
            <w:sz w:val="20"/>
            <w:szCs w:val="20"/>
          </w:rPr>
          <w:t>Mielcarek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Benn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CL,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Franklin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SA,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Smith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DL,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Woodman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B,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Marks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PA,</w:t>
        </w:r>
        <w:r w:rsidR="006B1F41" w:rsidRPr="007A6110">
          <w:rPr>
            <w:rStyle w:val="Hyperlink"/>
            <w:bCs/>
            <w:sz w:val="20"/>
            <w:szCs w:val="20"/>
          </w:rPr>
          <w:t xml:space="preserve"> et al</w:t>
        </w:r>
        <w:r w:rsidRPr="007A6110">
          <w:rPr>
            <w:rStyle w:val="Hyperlink"/>
            <w:bCs/>
            <w:sz w:val="20"/>
            <w:szCs w:val="20"/>
          </w:rPr>
          <w:t>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SAHA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decreases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HDAC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4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levels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vivo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and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improves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molecular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phenotypes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in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the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R6/2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mouse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model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of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Huntington's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disease.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bCs/>
            <w:sz w:val="20"/>
            <w:szCs w:val="20"/>
          </w:rPr>
          <w:t>PLoS</w:t>
        </w:r>
        <w:proofErr w:type="spell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One.</w:t>
        </w:r>
        <w:proofErr w:type="gramEnd"/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2011;</w:t>
        </w:r>
        <w:r w:rsidR="0065753B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6:</w:t>
        </w:r>
        <w:r w:rsidR="006B1F41" w:rsidRPr="007A6110">
          <w:rPr>
            <w:rStyle w:val="Hyperlink"/>
            <w:bCs/>
            <w:sz w:val="20"/>
            <w:szCs w:val="20"/>
          </w:rPr>
          <w:t xml:space="preserve"> </w:t>
        </w:r>
        <w:r w:rsidRPr="007A6110">
          <w:rPr>
            <w:rStyle w:val="Hyperlink"/>
            <w:bCs/>
            <w:sz w:val="20"/>
            <w:szCs w:val="20"/>
          </w:rPr>
          <w:t>e27746</w:t>
        </w:r>
        <w:r w:rsidR="006B1F41" w:rsidRPr="007A6110">
          <w:rPr>
            <w:rStyle w:val="Hyperlink"/>
            <w:bCs/>
            <w:sz w:val="20"/>
            <w:szCs w:val="20"/>
          </w:rPr>
          <w:t>.</w:t>
        </w:r>
      </w:hyperlink>
    </w:p>
    <w:p w:rsidR="00D06D7F" w:rsidRPr="007A6110" w:rsidRDefault="00D06D7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lastRenderedPageBreak/>
        <w:t>STR52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66" w:history="1">
        <w:r w:rsidRPr="007A6110">
          <w:rPr>
            <w:rStyle w:val="Hyperlink"/>
            <w:sz w:val="20"/>
            <w:szCs w:val="20"/>
          </w:rPr>
          <w:t>Gagnon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KT,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Pendergraff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Deleavey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GF,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Swayze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EE,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Potier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P,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Randolph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J,</w:t>
        </w:r>
        <w:r w:rsidR="006B1F41" w:rsidRPr="007A6110">
          <w:rPr>
            <w:rStyle w:val="Hyperlink"/>
            <w:sz w:val="20"/>
            <w:szCs w:val="20"/>
          </w:rPr>
          <w:t xml:space="preserve"> et al</w:t>
        </w:r>
        <w:r w:rsidRPr="007A6110">
          <w:rPr>
            <w:rStyle w:val="Hyperlink"/>
            <w:sz w:val="20"/>
            <w:szCs w:val="20"/>
          </w:rPr>
          <w:t>.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Allele-selective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inhibition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expression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with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antisense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oligonucleotides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targeting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the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expanded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CAG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repeat.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Biochemistry.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gramStart"/>
        <w:r w:rsidRPr="007A6110">
          <w:rPr>
            <w:rStyle w:val="Hyperlink"/>
            <w:sz w:val="20"/>
            <w:szCs w:val="20"/>
          </w:rPr>
          <w:t>2010;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49: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10166-10178</w:t>
        </w:r>
        <w:r w:rsidR="006B1F41" w:rsidRPr="007A6110">
          <w:rPr>
            <w:rStyle w:val="Hyperlink"/>
            <w:sz w:val="20"/>
            <w:szCs w:val="20"/>
          </w:rPr>
          <w:t>.</w:t>
        </w:r>
        <w:proofErr w:type="gramEnd"/>
      </w:hyperlink>
    </w:p>
    <w:p w:rsidR="00D06D7F" w:rsidRPr="007A6110" w:rsidRDefault="00D06D7F" w:rsidP="007A6110">
      <w:pPr>
        <w:spacing w:line="360" w:lineRule="auto"/>
        <w:jc w:val="both"/>
        <w:rPr>
          <w:sz w:val="20"/>
          <w:szCs w:val="20"/>
        </w:rPr>
      </w:pPr>
      <w:r w:rsidRPr="007A6110">
        <w:rPr>
          <w:sz w:val="20"/>
          <w:szCs w:val="20"/>
        </w:rPr>
        <w:t>STR53</w:t>
      </w:r>
      <w:r w:rsidR="00CD7F0B" w:rsidRPr="007A6110">
        <w:rPr>
          <w:sz w:val="20"/>
          <w:szCs w:val="20"/>
        </w:rPr>
        <w:t>.</w:t>
      </w:r>
      <w:r w:rsidR="0065753B" w:rsidRPr="007A6110">
        <w:rPr>
          <w:sz w:val="20"/>
          <w:szCs w:val="20"/>
        </w:rPr>
        <w:t xml:space="preserve"> </w:t>
      </w:r>
      <w:hyperlink r:id="rId67" w:history="1">
        <w:proofErr w:type="spellStart"/>
        <w:r w:rsidRPr="007A6110">
          <w:rPr>
            <w:rStyle w:val="Hyperlink"/>
            <w:sz w:val="20"/>
            <w:szCs w:val="20"/>
          </w:rPr>
          <w:t>Drouet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V,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Ruiz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Zala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D,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Feyeux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Auregan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G,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Cambon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K,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al.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Allele-specific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silencing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of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mutant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proofErr w:type="spellStart"/>
        <w:r w:rsidRPr="007A6110">
          <w:rPr>
            <w:rStyle w:val="Hyperlink"/>
            <w:sz w:val="20"/>
            <w:szCs w:val="20"/>
          </w:rPr>
          <w:t>huntingtin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rodent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brain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and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human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stem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cells.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proofErr w:type="spellStart"/>
        <w:proofErr w:type="gramStart"/>
        <w:r w:rsidRPr="007A6110">
          <w:rPr>
            <w:rStyle w:val="Hyperlink"/>
            <w:sz w:val="20"/>
            <w:szCs w:val="20"/>
          </w:rPr>
          <w:t>PLoS</w:t>
        </w:r>
        <w:proofErr w:type="spell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One.</w:t>
        </w:r>
        <w:proofErr w:type="gramEnd"/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2014;</w:t>
        </w:r>
        <w:r w:rsidR="0065753B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9:</w:t>
        </w:r>
        <w:r w:rsidR="006B1F41" w:rsidRPr="007A6110">
          <w:rPr>
            <w:rStyle w:val="Hyperlink"/>
            <w:sz w:val="20"/>
            <w:szCs w:val="20"/>
          </w:rPr>
          <w:t xml:space="preserve"> </w:t>
        </w:r>
        <w:r w:rsidRPr="007A6110">
          <w:rPr>
            <w:rStyle w:val="Hyperlink"/>
            <w:sz w:val="20"/>
            <w:szCs w:val="20"/>
          </w:rPr>
          <w:t>e99341</w:t>
        </w:r>
        <w:r w:rsidR="006B1F41" w:rsidRPr="007A6110">
          <w:rPr>
            <w:rStyle w:val="Hyperlink"/>
            <w:sz w:val="20"/>
            <w:szCs w:val="20"/>
          </w:rPr>
          <w:t>.</w:t>
        </w:r>
      </w:hyperlink>
    </w:p>
    <w:p w:rsidR="001768A5" w:rsidRPr="009B4577" w:rsidRDefault="001768A5" w:rsidP="0086698F">
      <w:pPr>
        <w:rPr>
          <w:sz w:val="22"/>
          <w:szCs w:val="22"/>
        </w:rPr>
      </w:pPr>
    </w:p>
    <w:p w:rsidR="0086698F" w:rsidRPr="009B4577" w:rsidRDefault="0086698F" w:rsidP="0086698F">
      <w:pPr>
        <w:rPr>
          <w:sz w:val="22"/>
          <w:szCs w:val="22"/>
        </w:rPr>
      </w:pPr>
    </w:p>
    <w:p w:rsidR="0086698F" w:rsidRPr="009B4577" w:rsidRDefault="0086698F" w:rsidP="0086698F">
      <w:pPr>
        <w:rPr>
          <w:sz w:val="22"/>
          <w:szCs w:val="22"/>
        </w:rPr>
      </w:pPr>
    </w:p>
    <w:p w:rsidR="0086698F" w:rsidRPr="009B4577" w:rsidRDefault="0086698F" w:rsidP="00D94056">
      <w:pPr>
        <w:suppressAutoHyphens/>
        <w:rPr>
          <w:sz w:val="22"/>
          <w:szCs w:val="22"/>
        </w:rPr>
      </w:pPr>
    </w:p>
    <w:p w:rsidR="00D94056" w:rsidRPr="009B4577" w:rsidRDefault="00D94056" w:rsidP="00D30AB6">
      <w:pPr>
        <w:rPr>
          <w:sz w:val="22"/>
          <w:szCs w:val="22"/>
        </w:rPr>
      </w:pPr>
    </w:p>
    <w:p w:rsidR="00CB6288" w:rsidRPr="009B4577" w:rsidRDefault="00CB6288" w:rsidP="00D30AB6">
      <w:pPr>
        <w:rPr>
          <w:sz w:val="22"/>
          <w:szCs w:val="22"/>
        </w:rPr>
      </w:pPr>
    </w:p>
    <w:p w:rsidR="00CB6288" w:rsidRPr="009B4577" w:rsidRDefault="00CB6288" w:rsidP="00D30AB6">
      <w:pPr>
        <w:rPr>
          <w:sz w:val="22"/>
          <w:szCs w:val="22"/>
        </w:rPr>
      </w:pPr>
    </w:p>
    <w:sectPr w:rsidR="00CB6288" w:rsidRPr="009B4577" w:rsidSect="00624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51A"/>
    <w:multiLevelType w:val="hybridMultilevel"/>
    <w:tmpl w:val="5CFCB21E"/>
    <w:lvl w:ilvl="0" w:tplc="31480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FC0"/>
    <w:multiLevelType w:val="hybridMultilevel"/>
    <w:tmpl w:val="74A8D2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375"/>
    <w:multiLevelType w:val="hybridMultilevel"/>
    <w:tmpl w:val="F08E0012"/>
    <w:lvl w:ilvl="0" w:tplc="A4DE8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6C8A"/>
    <w:rsid w:val="0002303E"/>
    <w:rsid w:val="0003234E"/>
    <w:rsid w:val="000452DA"/>
    <w:rsid w:val="000459E1"/>
    <w:rsid w:val="00060081"/>
    <w:rsid w:val="00082AE8"/>
    <w:rsid w:val="000D028F"/>
    <w:rsid w:val="000E6CFB"/>
    <w:rsid w:val="000F626B"/>
    <w:rsid w:val="001003EE"/>
    <w:rsid w:val="00111037"/>
    <w:rsid w:val="0014702C"/>
    <w:rsid w:val="00155A7A"/>
    <w:rsid w:val="0016488C"/>
    <w:rsid w:val="00167398"/>
    <w:rsid w:val="00167FE7"/>
    <w:rsid w:val="001768A5"/>
    <w:rsid w:val="0018646B"/>
    <w:rsid w:val="001A3BE4"/>
    <w:rsid w:val="001A6D1D"/>
    <w:rsid w:val="001A775A"/>
    <w:rsid w:val="001B0891"/>
    <w:rsid w:val="001B2849"/>
    <w:rsid w:val="001C0C39"/>
    <w:rsid w:val="001C2223"/>
    <w:rsid w:val="001C2C90"/>
    <w:rsid w:val="001E2A2D"/>
    <w:rsid w:val="001E2E5B"/>
    <w:rsid w:val="00271E55"/>
    <w:rsid w:val="00275497"/>
    <w:rsid w:val="00277D6F"/>
    <w:rsid w:val="00281DE7"/>
    <w:rsid w:val="002910D2"/>
    <w:rsid w:val="00292171"/>
    <w:rsid w:val="002B1AA7"/>
    <w:rsid w:val="002B45E2"/>
    <w:rsid w:val="002D7200"/>
    <w:rsid w:val="002D7F9C"/>
    <w:rsid w:val="002E57A3"/>
    <w:rsid w:val="002F26FC"/>
    <w:rsid w:val="003332FD"/>
    <w:rsid w:val="003400A8"/>
    <w:rsid w:val="00344477"/>
    <w:rsid w:val="003626EE"/>
    <w:rsid w:val="003A1E89"/>
    <w:rsid w:val="003C0CEA"/>
    <w:rsid w:val="003C2098"/>
    <w:rsid w:val="003C521A"/>
    <w:rsid w:val="003C61B6"/>
    <w:rsid w:val="003D0138"/>
    <w:rsid w:val="003F1441"/>
    <w:rsid w:val="0040496D"/>
    <w:rsid w:val="0042237F"/>
    <w:rsid w:val="004406BD"/>
    <w:rsid w:val="00454373"/>
    <w:rsid w:val="00455B9C"/>
    <w:rsid w:val="00462D4A"/>
    <w:rsid w:val="00463D02"/>
    <w:rsid w:val="00473A10"/>
    <w:rsid w:val="00490789"/>
    <w:rsid w:val="00496C8A"/>
    <w:rsid w:val="004A19E1"/>
    <w:rsid w:val="004B6AC4"/>
    <w:rsid w:val="004B7915"/>
    <w:rsid w:val="004D5A38"/>
    <w:rsid w:val="004D6D01"/>
    <w:rsid w:val="004E46B7"/>
    <w:rsid w:val="00505E44"/>
    <w:rsid w:val="005654C7"/>
    <w:rsid w:val="005772DE"/>
    <w:rsid w:val="005C7436"/>
    <w:rsid w:val="005D0110"/>
    <w:rsid w:val="005E005C"/>
    <w:rsid w:val="005E50B2"/>
    <w:rsid w:val="005F10D6"/>
    <w:rsid w:val="00604AF0"/>
    <w:rsid w:val="0060612D"/>
    <w:rsid w:val="00607A59"/>
    <w:rsid w:val="00614AE3"/>
    <w:rsid w:val="0062452C"/>
    <w:rsid w:val="00645F61"/>
    <w:rsid w:val="0065753B"/>
    <w:rsid w:val="00676000"/>
    <w:rsid w:val="00685132"/>
    <w:rsid w:val="0068594D"/>
    <w:rsid w:val="00694A71"/>
    <w:rsid w:val="00697B09"/>
    <w:rsid w:val="006A5D34"/>
    <w:rsid w:val="006A7958"/>
    <w:rsid w:val="006A7E56"/>
    <w:rsid w:val="006B1F41"/>
    <w:rsid w:val="006F6832"/>
    <w:rsid w:val="00700889"/>
    <w:rsid w:val="00700993"/>
    <w:rsid w:val="00707246"/>
    <w:rsid w:val="0071051E"/>
    <w:rsid w:val="0072419A"/>
    <w:rsid w:val="00726D70"/>
    <w:rsid w:val="007319F7"/>
    <w:rsid w:val="00753526"/>
    <w:rsid w:val="00757033"/>
    <w:rsid w:val="007960AF"/>
    <w:rsid w:val="007A6110"/>
    <w:rsid w:val="0080301C"/>
    <w:rsid w:val="00822487"/>
    <w:rsid w:val="0084590B"/>
    <w:rsid w:val="0085140F"/>
    <w:rsid w:val="00855489"/>
    <w:rsid w:val="0086698F"/>
    <w:rsid w:val="00885225"/>
    <w:rsid w:val="00894C7F"/>
    <w:rsid w:val="008B0EE3"/>
    <w:rsid w:val="008B56F9"/>
    <w:rsid w:val="008C26A1"/>
    <w:rsid w:val="008E158F"/>
    <w:rsid w:val="008E2FF3"/>
    <w:rsid w:val="008E6079"/>
    <w:rsid w:val="008F2B3A"/>
    <w:rsid w:val="00916B77"/>
    <w:rsid w:val="009312AF"/>
    <w:rsid w:val="00942286"/>
    <w:rsid w:val="0095614B"/>
    <w:rsid w:val="0096283E"/>
    <w:rsid w:val="00967063"/>
    <w:rsid w:val="00975AD4"/>
    <w:rsid w:val="00977898"/>
    <w:rsid w:val="00985E3B"/>
    <w:rsid w:val="009A0D31"/>
    <w:rsid w:val="009A4172"/>
    <w:rsid w:val="009B4577"/>
    <w:rsid w:val="009E02D0"/>
    <w:rsid w:val="009E7AED"/>
    <w:rsid w:val="00A1355D"/>
    <w:rsid w:val="00A22B38"/>
    <w:rsid w:val="00A22FD8"/>
    <w:rsid w:val="00A72732"/>
    <w:rsid w:val="00A837B1"/>
    <w:rsid w:val="00A84F93"/>
    <w:rsid w:val="00A902EF"/>
    <w:rsid w:val="00A922BF"/>
    <w:rsid w:val="00AB6E36"/>
    <w:rsid w:val="00AD4362"/>
    <w:rsid w:val="00AD6E5B"/>
    <w:rsid w:val="00B24B57"/>
    <w:rsid w:val="00B268B2"/>
    <w:rsid w:val="00B33AA5"/>
    <w:rsid w:val="00B40AB4"/>
    <w:rsid w:val="00B42E4E"/>
    <w:rsid w:val="00B62961"/>
    <w:rsid w:val="00B65AB3"/>
    <w:rsid w:val="00B715F5"/>
    <w:rsid w:val="00B7628A"/>
    <w:rsid w:val="00B85A3F"/>
    <w:rsid w:val="00B97441"/>
    <w:rsid w:val="00BB41FA"/>
    <w:rsid w:val="00BB5293"/>
    <w:rsid w:val="00BC58CD"/>
    <w:rsid w:val="00BD5E13"/>
    <w:rsid w:val="00BF7DA4"/>
    <w:rsid w:val="00C129F9"/>
    <w:rsid w:val="00C53537"/>
    <w:rsid w:val="00C5713C"/>
    <w:rsid w:val="00C812C0"/>
    <w:rsid w:val="00C81DD6"/>
    <w:rsid w:val="00C857C9"/>
    <w:rsid w:val="00CA6A83"/>
    <w:rsid w:val="00CB0D7B"/>
    <w:rsid w:val="00CB6288"/>
    <w:rsid w:val="00CB67F4"/>
    <w:rsid w:val="00CD60E1"/>
    <w:rsid w:val="00CD7F0B"/>
    <w:rsid w:val="00CE1556"/>
    <w:rsid w:val="00D036AF"/>
    <w:rsid w:val="00D04354"/>
    <w:rsid w:val="00D06D7F"/>
    <w:rsid w:val="00D13993"/>
    <w:rsid w:val="00D25B85"/>
    <w:rsid w:val="00D30AB6"/>
    <w:rsid w:val="00D55F93"/>
    <w:rsid w:val="00D5780B"/>
    <w:rsid w:val="00D57B05"/>
    <w:rsid w:val="00D60ADD"/>
    <w:rsid w:val="00D825F2"/>
    <w:rsid w:val="00D90CB1"/>
    <w:rsid w:val="00D94056"/>
    <w:rsid w:val="00D97CDD"/>
    <w:rsid w:val="00DB6AF9"/>
    <w:rsid w:val="00DC10BB"/>
    <w:rsid w:val="00DC7880"/>
    <w:rsid w:val="00DD7FB5"/>
    <w:rsid w:val="00DE1299"/>
    <w:rsid w:val="00DE4363"/>
    <w:rsid w:val="00E2039F"/>
    <w:rsid w:val="00E2040C"/>
    <w:rsid w:val="00E36326"/>
    <w:rsid w:val="00E419B2"/>
    <w:rsid w:val="00E466B8"/>
    <w:rsid w:val="00E536B5"/>
    <w:rsid w:val="00EA3084"/>
    <w:rsid w:val="00EA5333"/>
    <w:rsid w:val="00EB2714"/>
    <w:rsid w:val="00EB7473"/>
    <w:rsid w:val="00EB7AEB"/>
    <w:rsid w:val="00EC552B"/>
    <w:rsid w:val="00EF121F"/>
    <w:rsid w:val="00F349A6"/>
    <w:rsid w:val="00F35E19"/>
    <w:rsid w:val="00F36718"/>
    <w:rsid w:val="00F41AA5"/>
    <w:rsid w:val="00F43BD3"/>
    <w:rsid w:val="00F51241"/>
    <w:rsid w:val="00F51FEF"/>
    <w:rsid w:val="00F57AEC"/>
    <w:rsid w:val="00F76B0C"/>
    <w:rsid w:val="00FA1C7E"/>
    <w:rsid w:val="00FB147F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C8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96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C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46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81D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4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ome.jp/kegg/pathway.html" TargetMode="External"/><Relationship Id="rId18" Type="http://schemas.openxmlformats.org/officeDocument/2006/relationships/hyperlink" Target="https://www.ncbi.nlm.nih.gov/pubmed/25848931" TargetMode="External"/><Relationship Id="rId26" Type="http://schemas.openxmlformats.org/officeDocument/2006/relationships/hyperlink" Target="https://www.ncbi.nlm.nih.gov/pubmed/16914060" TargetMode="External"/><Relationship Id="rId39" Type="http://schemas.openxmlformats.org/officeDocument/2006/relationships/hyperlink" Target="https://www.ncbi.nlm.nih.gov/pubmed/24946181" TargetMode="External"/><Relationship Id="rId21" Type="http://schemas.openxmlformats.org/officeDocument/2006/relationships/hyperlink" Target="https://www.ncbi.nlm.nih.gov/pubmed/22274789" TargetMode="External"/><Relationship Id="rId34" Type="http://schemas.openxmlformats.org/officeDocument/2006/relationships/hyperlink" Target="https://www.ncbi.nlm.nih.gov/pubmed/16417581" TargetMode="External"/><Relationship Id="rId42" Type="http://schemas.openxmlformats.org/officeDocument/2006/relationships/hyperlink" Target="https://www.ncbi.nlm.nih.gov/pubmed/25535386" TargetMode="External"/><Relationship Id="rId47" Type="http://schemas.openxmlformats.org/officeDocument/2006/relationships/hyperlink" Target="http://stm.sciencemag.org/content/6/268/268ra178" TargetMode="External"/><Relationship Id="rId50" Type="http://schemas.openxmlformats.org/officeDocument/2006/relationships/hyperlink" Target="https://www.ncbi.nlm.nih.gov/pubmed/22590724" TargetMode="External"/><Relationship Id="rId55" Type="http://schemas.openxmlformats.org/officeDocument/2006/relationships/hyperlink" Target="https://www.ncbi.nlm.nih.gov/pubmed/26825854" TargetMode="External"/><Relationship Id="rId63" Type="http://schemas.openxmlformats.org/officeDocument/2006/relationships/hyperlink" Target="https://www.ncbi.nlm.nih.gov/pubmed/2648530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proteinatla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4705354" TargetMode="External"/><Relationship Id="rId29" Type="http://schemas.openxmlformats.org/officeDocument/2006/relationships/hyperlink" Target="https://www.ncbi.nlm.nih.gov/pubmed/22387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eFriends.org" TargetMode="External"/><Relationship Id="rId11" Type="http://schemas.openxmlformats.org/officeDocument/2006/relationships/hyperlink" Target="http://www.GeneFriends.org" TargetMode="External"/><Relationship Id="rId24" Type="http://schemas.openxmlformats.org/officeDocument/2006/relationships/hyperlink" Target="https://www.ncbi.nlm.nih.gov/pmc/articles/PMC2597910/" TargetMode="External"/><Relationship Id="rId32" Type="http://schemas.openxmlformats.org/officeDocument/2006/relationships/hyperlink" Target="https://www.ncbi.nlm.nih.gov/pubmed/10804212" TargetMode="External"/><Relationship Id="rId37" Type="http://schemas.openxmlformats.org/officeDocument/2006/relationships/hyperlink" Target="https://www.ncbi.nlm.nih.gov/pubmed/24377263" TargetMode="External"/><Relationship Id="rId40" Type="http://schemas.openxmlformats.org/officeDocument/2006/relationships/hyperlink" Target="https://www.ncbi.nlm.nih.gov/pubmed/25180603" TargetMode="External"/><Relationship Id="rId45" Type="http://schemas.openxmlformats.org/officeDocument/2006/relationships/hyperlink" Target="https://www.ncbi.nlm.nih.gov/pubmed/24951540" TargetMode="External"/><Relationship Id="rId53" Type="http://schemas.openxmlformats.org/officeDocument/2006/relationships/hyperlink" Target="https://www.ncbi.nlm.nih.gov/pubmed/26425390" TargetMode="External"/><Relationship Id="rId58" Type="http://schemas.openxmlformats.org/officeDocument/2006/relationships/hyperlink" Target="https://www.ncbi.nlm.nih.gov/pubmed/26681807" TargetMode="External"/><Relationship Id="rId66" Type="http://schemas.openxmlformats.org/officeDocument/2006/relationships/hyperlink" Target="https://www.ncbi.nlm.nih.gov/pubmed/21028906" TargetMode="External"/><Relationship Id="rId5" Type="http://schemas.openxmlformats.org/officeDocument/2006/relationships/hyperlink" Target="http://coxpresdb.jp" TargetMode="External"/><Relationship Id="rId15" Type="http://schemas.openxmlformats.org/officeDocument/2006/relationships/hyperlink" Target="https://www.ncbi.nlm.nih.gov/pubmed/17947297" TargetMode="External"/><Relationship Id="rId23" Type="http://schemas.openxmlformats.org/officeDocument/2006/relationships/hyperlink" Target="https://www.ncbi.nlm.nih.gov/pubmed/23732677" TargetMode="External"/><Relationship Id="rId28" Type="http://schemas.openxmlformats.org/officeDocument/2006/relationships/hyperlink" Target="https://www.ncbi.nlm.nih.gov/pubmed/12900792" TargetMode="External"/><Relationship Id="rId36" Type="http://schemas.openxmlformats.org/officeDocument/2006/relationships/hyperlink" Target="https://www.ncbi.nlm.nih.gov/pubmed/11709539" TargetMode="External"/><Relationship Id="rId49" Type="http://schemas.openxmlformats.org/officeDocument/2006/relationships/hyperlink" Target="https://www.ncbi.nlm.nih.gov/pubmed/25305080" TargetMode="External"/><Relationship Id="rId57" Type="http://schemas.openxmlformats.org/officeDocument/2006/relationships/hyperlink" Target="https://www.ncbi.nlm.nih.gov/pubmed/24946181" TargetMode="External"/><Relationship Id="rId61" Type="http://schemas.openxmlformats.org/officeDocument/2006/relationships/hyperlink" Target="https://www.ncbi.nlm.nih.gov/pubmed/25535382" TargetMode="External"/><Relationship Id="rId10" Type="http://schemas.openxmlformats.org/officeDocument/2006/relationships/hyperlink" Target="http://coxpresdb.jp" TargetMode="External"/><Relationship Id="rId19" Type="http://schemas.openxmlformats.org/officeDocument/2006/relationships/hyperlink" Target="https://www.ncbi.nlm.nih.gov/pubmed/24705917" TargetMode="External"/><Relationship Id="rId31" Type="http://schemas.openxmlformats.org/officeDocument/2006/relationships/hyperlink" Target="https://www.ncbi.nlm.nih.gov/pubmed/25645993" TargetMode="External"/><Relationship Id="rId44" Type="http://schemas.openxmlformats.org/officeDocument/2006/relationships/hyperlink" Target="https://www.ncbi.nlm.nih.gov/pubmed/24706802" TargetMode="External"/><Relationship Id="rId52" Type="http://schemas.openxmlformats.org/officeDocument/2006/relationships/hyperlink" Target="https://www.ncbi.nlm.nih.gov/pubmed/24366610" TargetMode="External"/><Relationship Id="rId60" Type="http://schemas.openxmlformats.org/officeDocument/2006/relationships/hyperlink" Target="http://www.sciencedirect.com/science/article/pii/S0028390816301812" TargetMode="External"/><Relationship Id="rId65" Type="http://schemas.openxmlformats.org/officeDocument/2006/relationships/hyperlink" Target="https://www.ncbi.nlm.nih.gov/pubmed/22140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ia.ensembl.org/biomart/martview/" TargetMode="External"/><Relationship Id="rId14" Type="http://schemas.openxmlformats.org/officeDocument/2006/relationships/hyperlink" Target="http://www.hdresearchcrossroads.org/" TargetMode="External"/><Relationship Id="rId22" Type="http://schemas.openxmlformats.org/officeDocument/2006/relationships/hyperlink" Target="https://www.ncbi.nlm.nih.gov/pmc/articles/PMC4309878/" TargetMode="External"/><Relationship Id="rId27" Type="http://schemas.openxmlformats.org/officeDocument/2006/relationships/hyperlink" Target="https://www.ncbi.nlm.nih.gov/pubmed/15029481" TargetMode="External"/><Relationship Id="rId30" Type="http://schemas.openxmlformats.org/officeDocument/2006/relationships/hyperlink" Target="https://www.ncbi.nlm.nih.gov/pubmed/26081309" TargetMode="External"/><Relationship Id="rId35" Type="http://schemas.openxmlformats.org/officeDocument/2006/relationships/hyperlink" Target="https://www.ncbi.nlm.nih.gov/pubmed/11200958" TargetMode="External"/><Relationship Id="rId43" Type="http://schemas.openxmlformats.org/officeDocument/2006/relationships/hyperlink" Target="https://www.ncbi.nlm.nih.gov/pubmed/25027318" TargetMode="External"/><Relationship Id="rId48" Type="http://schemas.openxmlformats.org/officeDocument/2006/relationships/hyperlink" Target="https://www.ncbi.nlm.nih.gov/pubmed/25686248" TargetMode="External"/><Relationship Id="rId56" Type="http://schemas.openxmlformats.org/officeDocument/2006/relationships/hyperlink" Target="https://www.ncbi.nlm.nih.gov/pubmed/25398695" TargetMode="External"/><Relationship Id="rId64" Type="http://schemas.openxmlformats.org/officeDocument/2006/relationships/hyperlink" Target="https://www.ncbi.nlm.nih.gov/pubmed/2486577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genecodis.dacya.ucm.es/" TargetMode="External"/><Relationship Id="rId51" Type="http://schemas.openxmlformats.org/officeDocument/2006/relationships/hyperlink" Target="http://www.nature.com/nrd/journal/v8/n1/full/nrd278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nsembl.org/biomart/martview/3a7414d2ce1af7d18191aa71e329251b" TargetMode="External"/><Relationship Id="rId17" Type="http://schemas.openxmlformats.org/officeDocument/2006/relationships/hyperlink" Target="https://www.ncbi.nlm.nih.gov/pubmed/12122205" TargetMode="External"/><Relationship Id="rId25" Type="http://schemas.openxmlformats.org/officeDocument/2006/relationships/hyperlink" Target="https://www.ncbi.nlm.nih.gov/pubmed/18481795" TargetMode="External"/><Relationship Id="rId33" Type="http://schemas.openxmlformats.org/officeDocument/2006/relationships/hyperlink" Target="https://www.ncbi.nlm.nih.gov/pubmed/11133364" TargetMode="External"/><Relationship Id="rId38" Type="http://schemas.openxmlformats.org/officeDocument/2006/relationships/hyperlink" Target="https://www.ncbi.nlm.nih.gov/pubmed/22772050" TargetMode="External"/><Relationship Id="rId46" Type="http://schemas.openxmlformats.org/officeDocument/2006/relationships/hyperlink" Target="https://www.ncbi.nlm.nih.gov/pubmed/24412373" TargetMode="External"/><Relationship Id="rId59" Type="http://schemas.openxmlformats.org/officeDocument/2006/relationships/hyperlink" Target="https://www.ncbi.nlm.nih.gov/pubmed/27225841" TargetMode="External"/><Relationship Id="rId67" Type="http://schemas.openxmlformats.org/officeDocument/2006/relationships/hyperlink" Target="https://www.ncbi.nlm.nih.gov/pmc/articles/PMC4057216/" TargetMode="External"/><Relationship Id="rId20" Type="http://schemas.openxmlformats.org/officeDocument/2006/relationships/hyperlink" Target="https://www.ncbi.nlm.nih.gov/pubmed/20629137" TargetMode="External"/><Relationship Id="rId41" Type="http://schemas.openxmlformats.org/officeDocument/2006/relationships/hyperlink" Target="https://www.ncbi.nlm.nih.gov/pubmed/24991961" TargetMode="External"/><Relationship Id="rId54" Type="http://schemas.openxmlformats.org/officeDocument/2006/relationships/hyperlink" Target="https://www.ncbi.nlm.nih.gov/pubmed/25773746" TargetMode="External"/><Relationship Id="rId62" Type="http://schemas.openxmlformats.org/officeDocument/2006/relationships/hyperlink" Target="https://www.ncbi.nlm.nih.gov/pubmed/27031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Nitai</dc:creator>
  <cp:lastModifiedBy>Radhika</cp:lastModifiedBy>
  <cp:revision>16</cp:revision>
  <cp:lastPrinted>2016-06-01T14:07:00Z</cp:lastPrinted>
  <dcterms:created xsi:type="dcterms:W3CDTF">2016-08-24T05:29:00Z</dcterms:created>
  <dcterms:modified xsi:type="dcterms:W3CDTF">2016-11-22T06:16:00Z</dcterms:modified>
</cp:coreProperties>
</file>